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media/image10.png" ContentType="image/png"/>
  <Override PartName="/word/numbering.xml" ContentType="application/vnd.openxmlformats-officedocument.wordprocessingml.numbering+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tbl>
      <w:tblPr>
        <w:jc w:val="left"/>
        <w:tblInd w:type="dxa" w:w="-106"/>
        <w:tblBorders>
          <w:top w:val="nil"/>
          <w:left w:val="nil"/>
          <w:bottom w:val="nil"/>
          <w:insideH w:val="nil"/>
          <w:right w:val="nil"/>
          <w:insideV w:val="nil"/>
        </w:tblBorders>
        <w:tblCellMar>
          <w:top w:type="dxa" w:w="0"/>
          <w:left w:type="dxa" w:w="108"/>
          <w:bottom w:type="dxa" w:w="0"/>
          <w:right w:type="dxa" w:w="108"/>
        </w:tblCellMar>
      </w:tblPr>
      <w:tblGrid>
        <w:gridCol w:w="9574"/>
      </w:tblGrid>
      <w:tr>
        <w:trPr>
          <w:cantSplit w:val="false"/>
        </w:trPr>
        <w:tc>
          <w:tcPr>
            <w:tcW w:type="dxa" w:w="9574"/>
            <w:tcBorders>
              <w:top w:val="nil"/>
              <w:left w:val="nil"/>
              <w:bottom w:val="nil"/>
              <w:right w:val="nil"/>
            </w:tcBorders>
            <w:shd w:fill="FFFFFF" w:val="clear"/>
          </w:tcPr>
          <w:p>
            <w:pPr>
              <w:pStyle w:val="style0"/>
              <w:ind w:hanging="0" w:left="0" w:right="-2"/>
              <w:jc w:val="center"/>
              <w:rPr/>
            </w:pPr>
            <w:r>
              <w:rPr/>
            </w:r>
          </w:p>
          <w:p>
            <w:pPr>
              <w:pStyle w:val="style0"/>
              <w:spacing w:after="0" w:before="0" w:line="200" w:lineRule="atLeast"/>
              <w:ind w:hanging="0" w:left="0" w:right="-2"/>
              <w:contextualSpacing w:val="false"/>
              <w:jc w:val="center"/>
              <w:rPr>
                <w:rFonts w:ascii="Times New Roman" w:cs="Times New Roman" w:hAnsi="Times New Roman"/>
                <w:sz w:val="28"/>
                <w:szCs w:val="28"/>
                <w:lang w:val="uk-UA"/>
                <w:pict>
                  <v:shapetype id="shapetype_75" coordsize="21600,21600" o:spt="75" adj="2700" path="m,l21600,l21600,21600l,21600xm@0@0l@0@2l@1@2l@1@0xe">
                    <v:stroke joinstyle="miter"/>
                    <v:formulas>
                      <v:f eqn="val #0"/>
                      <v:f eqn="sum width 0 @0"/>
                      <v:f eqn="sum height 0 @0"/>
                    </v:formulas>
                    <v:path gradientshapeok="t" o:connecttype="rect" textboxrect="@0,@0,@1,@2"/>
                    <v:handles>
                      <v:h position="@0,0"/>
                    </v:handles>
                  </v:shapetype>
                  <v:shape id="shape_0" style="position:absolute;margin-left:0pt;margin-top:0pt;width:44.95pt;height:59.95pt" type="shapetype_75">
                    <v:fill detectmouseclick="t" r:id="rId2"/>
                    <v:wrap v:type="none"/>
                    <v:stroke color="#3465af" endcap="flat" joinstyle="round"/>
                  </v:shape>
                </w:pict>
              </w:rPr>
            </w:pPr>
            <w:r>
              <w:rPr>
                <w:rFonts w:ascii="Times New Roman" w:cs="Times New Roman" w:hAnsi="Times New Roman"/>
                <w:sz w:val="28"/>
                <w:szCs w:val="28"/>
                <w:lang w:val="uk-UA"/>
                <w:pict>
                  <v:shapetype id="shapetype_75" coordsize="21600,21600" o:spt="75" adj="2700" path="m,l21600,l21600,21600l,21600xm@0@0l@0@2l@1@2l@1@0xe">
                    <v:stroke joinstyle="miter"/>
                    <v:formulas>
                      <v:f eqn="val #0"/>
                      <v:f eqn="sum width 0 @0"/>
                      <v:f eqn="sum height 0 @0"/>
                    </v:formulas>
                    <v:path gradientshapeok="t" o:connecttype="rect" textboxrect="@0,@0,@1,@2"/>
                    <v:handles>
                      <v:h position="@0,0"/>
                    </v:handles>
                  </v:shapetype>
                  <v:shape id="shape_0" style="position:absolute;margin-left:0pt;margin-top:0pt;width:44.95pt;height:59.95pt" type="shapetype_75">
                    <v:fill detectmouseclick="t" r:id="rId2"/>
                    <v:wrap v:type="none"/>
                    <v:stroke color="#3465af" endcap="flat" joinstyle="round"/>
                  </v:shape>
                </w:pict>
              </w:rPr>
            </w:r>
          </w:p>
          <w:p>
            <w:pPr>
              <w:pStyle w:val="style0"/>
              <w:spacing w:after="0" w:before="0" w:line="200" w:lineRule="atLeast"/>
              <w:ind w:hanging="0" w:left="0" w:right="-2"/>
              <w:contextualSpacing w:val="false"/>
              <w:jc w:val="center"/>
              <w:rPr>
                <w:rFonts w:ascii="Times New Roman" w:cs="Times New Roman" w:hAnsi="Times New Roman"/>
                <w:sz w:val="28"/>
                <w:szCs w:val="28"/>
                <w:lang w:val="uk-UA"/>
              </w:rPr>
            </w:pPr>
            <w:r>
              <w:rPr>
                <w:rFonts w:ascii="Times New Roman" w:cs="Times New Roman" w:hAnsi="Times New Roman"/>
                <w:sz w:val="28"/>
                <w:szCs w:val="28"/>
                <w:lang w:val="uk-UA"/>
              </w:rPr>
              <w:t>Україна</w:t>
            </w:r>
          </w:p>
          <w:p>
            <w:pPr>
              <w:pStyle w:val="style0"/>
              <w:spacing w:after="0" w:before="0" w:line="200" w:lineRule="atLeast"/>
              <w:ind w:hanging="0" w:left="0" w:right="-2"/>
              <w:contextualSpacing w:val="false"/>
              <w:jc w:val="center"/>
              <w:rPr>
                <w:rFonts w:ascii="Times New Roman" w:cs="Times New Roman" w:hAnsi="Times New Roman"/>
                <w:sz w:val="28"/>
                <w:szCs w:val="28"/>
                <w:lang w:val="uk-UA"/>
              </w:rPr>
            </w:pPr>
            <w:r>
              <w:rPr>
                <w:rFonts w:ascii="Times New Roman" w:cs="Times New Roman" w:hAnsi="Times New Roman"/>
                <w:sz w:val="28"/>
                <w:szCs w:val="28"/>
                <w:lang w:val="uk-UA"/>
              </w:rPr>
              <w:t>Мелітопольська міська рада</w:t>
            </w:r>
          </w:p>
          <w:p>
            <w:pPr>
              <w:pStyle w:val="style0"/>
              <w:spacing w:after="0" w:before="0" w:line="200" w:lineRule="atLeast"/>
              <w:ind w:hanging="0" w:left="0" w:right="-2"/>
              <w:contextualSpacing w:val="false"/>
              <w:jc w:val="center"/>
              <w:rPr>
                <w:rFonts w:ascii="Times New Roman" w:cs="Times New Roman" w:hAnsi="Times New Roman"/>
                <w:sz w:val="28"/>
                <w:szCs w:val="28"/>
                <w:lang w:val="uk-UA"/>
              </w:rPr>
            </w:pPr>
            <w:r>
              <w:rPr>
                <w:rFonts w:ascii="Times New Roman" w:cs="Times New Roman" w:hAnsi="Times New Roman"/>
                <w:sz w:val="28"/>
                <w:szCs w:val="28"/>
                <w:lang w:val="uk-UA"/>
              </w:rPr>
              <w:t>Запорізької області</w:t>
            </w:r>
          </w:p>
          <w:p>
            <w:pPr>
              <w:pStyle w:val="style0"/>
              <w:spacing w:after="0" w:before="0" w:line="200" w:lineRule="atLeast"/>
              <w:ind w:hanging="0" w:left="0" w:right="-2"/>
              <w:contextualSpacing w:val="false"/>
              <w:jc w:val="center"/>
              <w:rPr>
                <w:rFonts w:ascii="Times New Roman" w:cs="Times New Roman" w:hAnsi="Times New Roman"/>
                <w:sz w:val="28"/>
                <w:szCs w:val="28"/>
                <w:lang w:val="uk-UA"/>
              </w:rPr>
            </w:pPr>
            <w:r>
              <w:rPr>
                <w:rFonts w:ascii="Times New Roman" w:cs="Times New Roman" w:hAnsi="Times New Roman"/>
                <w:sz w:val="28"/>
                <w:szCs w:val="28"/>
              </w:rPr>
              <w:t>V</w:t>
            </w:r>
            <w:r>
              <w:rPr>
                <w:rFonts w:ascii="Times New Roman" w:cs="Times New Roman" w:hAnsi="Times New Roman"/>
                <w:sz w:val="28"/>
                <w:szCs w:val="28"/>
                <w:lang w:val="en-US"/>
              </w:rPr>
              <w:t>II</w:t>
            </w:r>
            <w:r>
              <w:rPr>
                <w:rFonts w:ascii="Times New Roman" w:cs="Times New Roman" w:hAnsi="Times New Roman"/>
                <w:sz w:val="28"/>
                <w:szCs w:val="28"/>
                <w:lang w:val="uk-UA"/>
              </w:rPr>
              <w:t xml:space="preserve"> скликання</w:t>
            </w:r>
          </w:p>
          <w:p>
            <w:pPr>
              <w:pStyle w:val="style0"/>
              <w:spacing w:after="0" w:before="0" w:line="200" w:lineRule="atLeast"/>
              <w:ind w:hanging="0" w:left="0" w:right="-2"/>
              <w:contextualSpacing w:val="false"/>
              <w:jc w:val="center"/>
              <w:rPr>
                <w:rFonts w:ascii="Times New Roman" w:cs="Times New Roman" w:hAnsi="Times New Roman"/>
                <w:sz w:val="28"/>
                <w:szCs w:val="28"/>
                <w:lang w:val="uk-UA"/>
              </w:rPr>
            </w:pPr>
            <w:r>
              <w:rPr>
                <w:rFonts w:ascii="Times New Roman" w:cs="Times New Roman" w:hAnsi="Times New Roman"/>
                <w:sz w:val="28"/>
                <w:szCs w:val="28"/>
                <w:lang w:val="uk-UA"/>
              </w:rPr>
              <w:t xml:space="preserve">_ сесія </w:t>
            </w:r>
          </w:p>
          <w:p>
            <w:pPr>
              <w:pStyle w:val="style0"/>
              <w:spacing w:after="0" w:before="0" w:line="200" w:lineRule="atLeast"/>
              <w:ind w:hanging="0" w:left="0" w:right="-2"/>
              <w:contextualSpacing w:val="false"/>
              <w:jc w:val="center"/>
              <w:rPr>
                <w:rFonts w:ascii="Times New Roman" w:cs="Times New Roman" w:hAnsi="Times New Roman"/>
                <w:sz w:val="28"/>
                <w:szCs w:val="28"/>
              </w:rPr>
            </w:pPr>
            <w:r>
              <w:rPr>
                <w:rFonts w:ascii="Times New Roman" w:cs="Times New Roman" w:hAnsi="Times New Roman"/>
                <w:sz w:val="28"/>
                <w:szCs w:val="28"/>
              </w:rPr>
            </w:r>
          </w:p>
          <w:p>
            <w:pPr>
              <w:pStyle w:val="style0"/>
              <w:spacing w:after="0" w:before="0" w:line="200" w:lineRule="atLeast"/>
              <w:ind w:hanging="0" w:left="0" w:right="-2"/>
              <w:contextualSpacing w:val="false"/>
              <w:jc w:val="center"/>
              <w:rPr>
                <w:rFonts w:ascii="Times New Roman" w:cs="Times New Roman" w:hAnsi="Times New Roman"/>
                <w:bCs/>
                <w:sz w:val="28"/>
                <w:szCs w:val="28"/>
                <w:lang w:val="uk-UA"/>
              </w:rPr>
            </w:pPr>
            <w:r>
              <w:rPr>
                <w:rFonts w:ascii="Times New Roman" w:cs="Times New Roman" w:hAnsi="Times New Roman"/>
                <w:bCs/>
                <w:sz w:val="28"/>
                <w:szCs w:val="28"/>
                <w:lang w:val="uk-UA"/>
              </w:rPr>
              <w:t>Р І Ш Е Н Н Я</w:t>
            </w:r>
          </w:p>
          <w:p>
            <w:pPr>
              <w:pStyle w:val="style0"/>
              <w:spacing w:after="0" w:before="0" w:line="100" w:lineRule="atLeast"/>
              <w:ind w:hanging="0" w:left="0" w:right="-2"/>
              <w:contextualSpacing w:val="false"/>
              <w:rPr>
                <w:rFonts w:ascii="Times New Roman" w:cs="Times New Roman" w:hAnsi="Times New Roman"/>
                <w:sz w:val="28"/>
                <w:szCs w:val="28"/>
                <w:lang w:val="uk-UA"/>
              </w:rPr>
            </w:pPr>
            <w:r>
              <w:rPr>
                <w:rFonts w:ascii="Times New Roman" w:cs="Times New Roman" w:hAnsi="Times New Roman"/>
                <w:sz w:val="28"/>
                <w:szCs w:val="28"/>
                <w:lang w:val="uk-UA"/>
              </w:rPr>
            </w:r>
          </w:p>
          <w:p>
            <w:pPr>
              <w:pStyle w:val="style0"/>
              <w:spacing w:after="0" w:before="0" w:line="100" w:lineRule="atLeast"/>
              <w:ind w:hanging="0" w:left="0" w:right="-2"/>
              <w:contextualSpacing w:val="false"/>
              <w:rPr>
                <w:rFonts w:ascii="Times New Roman" w:cs="Times New Roman" w:hAnsi="Times New Roman"/>
                <w:sz w:val="28"/>
                <w:szCs w:val="28"/>
                <w:lang w:val="uk-UA"/>
              </w:rPr>
            </w:pPr>
            <w:r>
              <w:rPr>
                <w:rFonts w:ascii="Times New Roman" w:cs="Times New Roman" w:hAnsi="Times New Roman"/>
                <w:sz w:val="28"/>
                <w:szCs w:val="28"/>
                <w:lang w:val="uk-UA"/>
              </w:rPr>
              <w:t>__________</w:t>
              <w:tab/>
              <w:tab/>
              <w:tab/>
              <w:tab/>
              <w:tab/>
              <w:tab/>
              <w:tab/>
              <w:tab/>
              <w:tab/>
              <w:tab/>
              <w:tab/>
              <w:t>№ ___</w:t>
            </w:r>
          </w:p>
          <w:p>
            <w:pPr>
              <w:pStyle w:val="style0"/>
              <w:widowControl w:val="false"/>
              <w:tabs>
                <w:tab w:leader="none" w:pos="8447" w:val="left"/>
              </w:tabs>
              <w:spacing w:after="0" w:before="0" w:line="100" w:lineRule="atLeast"/>
              <w:ind w:hanging="0" w:left="0"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r>
          </w:p>
          <w:p>
            <w:pPr>
              <w:pStyle w:val="style0"/>
              <w:widowControl w:val="false"/>
              <w:tabs>
                <w:tab w:leader="none" w:pos="8447" w:val="left"/>
              </w:tabs>
              <w:spacing w:after="0" w:before="0" w:line="100" w:lineRule="atLeast"/>
              <w:ind w:hanging="0" w:left="0"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r>
          </w:p>
          <w:p>
            <w:pPr>
              <w:pStyle w:val="style0"/>
              <w:widowControl w:val="false"/>
              <w:tabs>
                <w:tab w:leader="none" w:pos="8447" w:val="left"/>
              </w:tabs>
              <w:spacing w:after="0" w:before="0" w:line="100" w:lineRule="atLeast"/>
              <w:ind w:hanging="0" w:left="0" w:right="4574"/>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xml:space="preserve">Про затвердження Положення про постійні депутатські комісії Мелітопольської міської ради Запорізької області </w:t>
            </w:r>
            <w:r>
              <w:rPr>
                <w:rFonts w:ascii="Times New Roman" w:cs="Times New Roman" w:hAnsi="Times New Roman"/>
                <w:sz w:val="28"/>
                <w:szCs w:val="28"/>
                <w:lang w:val="en-US"/>
              </w:rPr>
              <w:t>VI</w:t>
            </w:r>
            <w:r>
              <w:rPr>
                <w:rFonts w:ascii="Times New Roman" w:cs="Times New Roman" w:hAnsi="Times New Roman"/>
                <w:sz w:val="28"/>
                <w:szCs w:val="28"/>
                <w:lang w:val="uk-UA"/>
              </w:rPr>
              <w:t>І скликання</w:t>
            </w:r>
          </w:p>
        </w:tc>
      </w:tr>
    </w:tbl>
    <w:p>
      <w:pPr>
        <w:pStyle w:val="style0"/>
        <w:widowControl w:val="false"/>
        <w:spacing w:after="0" w:before="0" w:line="100" w:lineRule="atLeast"/>
        <w:ind w:hanging="0" w:left="0"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r>
    </w:p>
    <w:p>
      <w:pPr>
        <w:pStyle w:val="style0"/>
        <w:widowControl w:val="false"/>
        <w:spacing w:after="0" w:before="0" w:line="100" w:lineRule="atLeast"/>
        <w:ind w:firstLine="540" w:left="0"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xml:space="preserve">З метою визначення переліку, функціональної спрямованості та порядку організації роботи постійних депутатських комісій Мелітопольської міської ради Запорізької області </w:t>
      </w:r>
      <w:r>
        <w:rPr>
          <w:rFonts w:ascii="Times New Roman" w:cs="Times New Roman" w:hAnsi="Times New Roman"/>
          <w:sz w:val="28"/>
          <w:szCs w:val="28"/>
          <w:lang w:val="en-US"/>
        </w:rPr>
        <w:t>VI</w:t>
      </w:r>
      <w:r>
        <w:rPr>
          <w:rFonts w:ascii="Times New Roman" w:cs="Times New Roman" w:hAnsi="Times New Roman"/>
          <w:sz w:val="28"/>
          <w:szCs w:val="28"/>
          <w:lang w:val="uk-UA"/>
        </w:rPr>
        <w:t xml:space="preserve">І скликання, відповідно до частини 13 статті 46, частини 15 статті 47 та керуючись статтею 25, 26 Закону України «Про місцеве самоврядування в Україні», </w:t>
      </w:r>
    </w:p>
    <w:p>
      <w:pPr>
        <w:pStyle w:val="style0"/>
        <w:widowControl w:val="false"/>
        <w:spacing w:after="0" w:before="0" w:line="100" w:lineRule="atLeast"/>
        <w:ind w:firstLine="540" w:left="0"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r>
    </w:p>
    <w:p>
      <w:pPr>
        <w:pStyle w:val="style0"/>
        <w:widowControl w:val="false"/>
        <w:spacing w:after="0" w:before="0" w:line="100" w:lineRule="atLeast"/>
        <w:ind w:firstLine="540" w:left="0" w:right="-2"/>
        <w:contextualSpacing w:val="false"/>
        <w:jc w:val="both"/>
        <w:rPr>
          <w:rFonts w:ascii="Times New Roman" w:cs="Times New Roman" w:hAnsi="Times New Roman"/>
          <w:bCs/>
          <w:sz w:val="28"/>
          <w:szCs w:val="28"/>
          <w:lang w:val="uk-UA"/>
        </w:rPr>
      </w:pPr>
      <w:r>
        <w:rPr>
          <w:rFonts w:ascii="Times New Roman" w:cs="Times New Roman" w:hAnsi="Times New Roman"/>
          <w:sz w:val="28"/>
          <w:szCs w:val="28"/>
          <w:lang w:val="uk-UA"/>
        </w:rPr>
        <w:t>Мелітопольської</w:t>
      </w:r>
      <w:r>
        <w:rPr>
          <w:rFonts w:ascii="Times New Roman" w:cs="Times New Roman" w:hAnsi="Times New Roman"/>
          <w:bCs/>
          <w:sz w:val="28"/>
          <w:szCs w:val="28"/>
          <w:lang w:val="uk-UA"/>
        </w:rPr>
        <w:t xml:space="preserve"> міська рада Запорізької області</w:t>
      </w:r>
    </w:p>
    <w:p>
      <w:pPr>
        <w:pStyle w:val="style0"/>
        <w:widowControl w:val="false"/>
        <w:spacing w:after="0" w:before="0" w:line="100" w:lineRule="atLeast"/>
        <w:ind w:hanging="0" w:left="0"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r>
    </w:p>
    <w:p>
      <w:pPr>
        <w:pStyle w:val="style0"/>
        <w:widowControl w:val="false"/>
        <w:spacing w:after="0" w:before="0" w:line="100" w:lineRule="atLeast"/>
        <w:ind w:hanging="0" w:left="0" w:right="-2"/>
        <w:contextualSpacing w:val="false"/>
        <w:jc w:val="center"/>
        <w:rPr>
          <w:rFonts w:ascii="Times New Roman" w:cs="Times New Roman" w:hAnsi="Times New Roman"/>
          <w:b/>
          <w:bCs/>
          <w:sz w:val="28"/>
          <w:szCs w:val="28"/>
          <w:lang w:val="uk-UA"/>
        </w:rPr>
      </w:pPr>
      <w:r>
        <w:rPr>
          <w:rFonts w:ascii="Times New Roman" w:cs="Times New Roman" w:hAnsi="Times New Roman"/>
          <w:b/>
          <w:bCs/>
          <w:sz w:val="28"/>
          <w:szCs w:val="28"/>
          <w:lang w:val="uk-UA"/>
        </w:rPr>
      </w:r>
    </w:p>
    <w:p>
      <w:pPr>
        <w:pStyle w:val="style0"/>
        <w:widowControl w:val="false"/>
        <w:spacing w:after="0" w:before="0" w:line="100" w:lineRule="atLeast"/>
        <w:ind w:hanging="0" w:left="0" w:right="-2"/>
        <w:contextualSpacing w:val="false"/>
        <w:rPr>
          <w:rFonts w:ascii="Times New Roman" w:cs="Times New Roman" w:hAnsi="Times New Roman"/>
          <w:b/>
          <w:bCs/>
          <w:sz w:val="28"/>
          <w:szCs w:val="28"/>
          <w:lang w:val="uk-UA"/>
        </w:rPr>
      </w:pPr>
      <w:r>
        <w:rPr>
          <w:rFonts w:ascii="Times New Roman" w:cs="Times New Roman" w:hAnsi="Times New Roman"/>
          <w:b/>
          <w:bCs/>
          <w:sz w:val="28"/>
          <w:szCs w:val="28"/>
          <w:lang w:val="uk-UA"/>
        </w:rPr>
        <w:t>ВИРІШИЛА:</w:t>
      </w:r>
    </w:p>
    <w:p>
      <w:pPr>
        <w:pStyle w:val="style0"/>
        <w:widowControl w:val="false"/>
        <w:spacing w:after="0" w:before="0" w:line="100" w:lineRule="atLeast"/>
        <w:ind w:hanging="0" w:left="0" w:right="-2"/>
        <w:contextualSpacing w:val="false"/>
        <w:rPr>
          <w:rFonts w:ascii="Times New Roman" w:cs="Times New Roman" w:hAnsi="Times New Roman"/>
          <w:sz w:val="28"/>
          <w:szCs w:val="28"/>
          <w:lang w:val="uk-UA"/>
        </w:rPr>
      </w:pPr>
      <w:r>
        <w:rPr>
          <w:rFonts w:ascii="Times New Roman" w:cs="Times New Roman" w:hAnsi="Times New Roman"/>
          <w:sz w:val="28"/>
          <w:szCs w:val="28"/>
          <w:lang w:val="uk-UA"/>
        </w:rPr>
      </w:r>
    </w:p>
    <w:p>
      <w:pPr>
        <w:pStyle w:val="style0"/>
        <w:widowControl w:val="false"/>
        <w:spacing w:after="0" w:before="0" w:line="100" w:lineRule="atLeast"/>
        <w:ind w:firstLine="567" w:left="0"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w:t>
      </w:r>
      <w:r>
        <w:rPr>
          <w:rFonts w:ascii="Times New Roman" w:cs="Times New Roman" w:hAnsi="Times New Roman"/>
          <w:sz w:val="28"/>
          <w:szCs w:val="28"/>
          <w:lang w:val="uk-UA"/>
        </w:rPr>
        <w:t xml:space="preserve">Затвердити Положення про постійні депутатські комісії Мелітопольської міської ради Запорізької області </w:t>
      </w:r>
      <w:r>
        <w:rPr>
          <w:rFonts w:ascii="Times New Roman" w:cs="Times New Roman" w:hAnsi="Times New Roman"/>
          <w:sz w:val="28"/>
          <w:szCs w:val="28"/>
          <w:lang w:val="en-US"/>
        </w:rPr>
        <w:t>VI</w:t>
      </w:r>
      <w:r>
        <w:rPr>
          <w:rFonts w:ascii="Times New Roman" w:cs="Times New Roman" w:hAnsi="Times New Roman"/>
          <w:sz w:val="28"/>
          <w:szCs w:val="28"/>
          <w:lang w:val="uk-UA"/>
        </w:rPr>
        <w:t>І скликання (додається).</w:t>
      </w:r>
    </w:p>
    <w:p>
      <w:pPr>
        <w:pStyle w:val="style0"/>
        <w:widowControl w:val="false"/>
        <w:spacing w:after="0" w:before="0" w:line="100" w:lineRule="atLeast"/>
        <w:ind w:hanging="0" w:left="0" w:right="-2"/>
        <w:contextualSpacing w:val="false"/>
        <w:rPr>
          <w:rFonts w:ascii="Times New Roman" w:cs="Times New Roman" w:hAnsi="Times New Roman"/>
          <w:sz w:val="28"/>
          <w:szCs w:val="28"/>
          <w:lang w:val="uk-UA"/>
        </w:rPr>
      </w:pPr>
      <w:r>
        <w:rPr>
          <w:rFonts w:ascii="Times New Roman" w:cs="Times New Roman" w:hAnsi="Times New Roman"/>
          <w:sz w:val="28"/>
          <w:szCs w:val="28"/>
          <w:lang w:val="uk-UA"/>
        </w:rPr>
      </w:r>
    </w:p>
    <w:p>
      <w:pPr>
        <w:pStyle w:val="style0"/>
        <w:widowControl w:val="false"/>
        <w:spacing w:after="0" w:before="0" w:line="100" w:lineRule="atLeast"/>
        <w:ind w:hanging="0" w:left="0" w:right="-2"/>
        <w:contextualSpacing w:val="false"/>
        <w:rPr>
          <w:rFonts w:ascii="Times New Roman" w:cs="Times New Roman" w:hAnsi="Times New Roman"/>
          <w:sz w:val="28"/>
          <w:szCs w:val="28"/>
          <w:lang w:val="uk-UA"/>
        </w:rPr>
      </w:pPr>
      <w:r>
        <w:rPr>
          <w:rFonts w:ascii="Times New Roman" w:cs="Times New Roman" w:hAnsi="Times New Roman"/>
          <w:sz w:val="28"/>
          <w:szCs w:val="28"/>
          <w:lang w:val="uk-UA"/>
        </w:rPr>
      </w:r>
    </w:p>
    <w:p>
      <w:pPr>
        <w:pStyle w:val="style0"/>
        <w:widowControl w:val="false"/>
        <w:spacing w:after="0" w:before="0" w:line="100" w:lineRule="atLeast"/>
        <w:ind w:hanging="0" w:left="0" w:right="-2"/>
        <w:contextualSpacing w:val="false"/>
        <w:rPr>
          <w:rFonts w:ascii="Times New Roman" w:cs="Times New Roman" w:hAnsi="Times New Roman"/>
          <w:sz w:val="28"/>
          <w:szCs w:val="28"/>
          <w:lang w:val="uk-UA"/>
        </w:rPr>
      </w:pPr>
      <w:r>
        <w:rPr>
          <w:rFonts w:ascii="Times New Roman" w:cs="Times New Roman" w:hAnsi="Times New Roman"/>
          <w:sz w:val="28"/>
          <w:szCs w:val="28"/>
          <w:lang w:val="uk-UA"/>
        </w:rPr>
      </w:r>
    </w:p>
    <w:p>
      <w:pPr>
        <w:pStyle w:val="style0"/>
        <w:widowControl w:val="false"/>
        <w:spacing w:after="0" w:before="0" w:line="100" w:lineRule="atLeast"/>
        <w:ind w:hanging="0" w:left="0" w:right="-2"/>
        <w:contextualSpacing w:val="false"/>
        <w:rPr>
          <w:rFonts w:ascii="Times New Roman" w:cs="Times New Roman" w:hAnsi="Times New Roman"/>
          <w:sz w:val="28"/>
          <w:szCs w:val="28"/>
          <w:lang w:val="uk-UA"/>
        </w:rPr>
      </w:pPr>
      <w:r>
        <w:rPr>
          <w:rFonts w:ascii="Times New Roman" w:cs="Times New Roman" w:hAnsi="Times New Roman"/>
          <w:sz w:val="28"/>
          <w:szCs w:val="28"/>
          <w:lang w:val="uk-UA"/>
        </w:rPr>
      </w:r>
    </w:p>
    <w:p>
      <w:pPr>
        <w:pStyle w:val="style0"/>
        <w:shd w:fill="FFFFFF" w:val="clear"/>
        <w:tabs>
          <w:tab w:leader="none" w:pos="7740" w:val="left"/>
        </w:tabs>
        <w:spacing w:after="0" w:before="0" w:line="100" w:lineRule="atLeast"/>
        <w:contextualSpacing w:val="false"/>
        <w:rPr>
          <w:rFonts w:ascii="Times New Roman" w:cs="Times New Roman" w:hAnsi="Times New Roman"/>
          <w:sz w:val="28"/>
          <w:szCs w:val="28"/>
          <w:lang w:val="uk-UA"/>
        </w:rPr>
      </w:pPr>
      <w:r>
        <w:rPr>
          <w:rFonts w:ascii="Times New Roman" w:cs="Times New Roman" w:hAnsi="Times New Roman"/>
          <w:sz w:val="28"/>
          <w:szCs w:val="28"/>
          <w:lang w:val="uk-UA"/>
        </w:rPr>
        <w:t>Головуючий на засіданні _</w:t>
      </w:r>
      <w:bookmarkStart w:id="0" w:name="_GoBack"/>
      <w:bookmarkEnd w:id="0"/>
      <w:r>
        <w:rPr>
          <w:rFonts w:ascii="Times New Roman" w:cs="Times New Roman" w:hAnsi="Times New Roman"/>
          <w:sz w:val="28"/>
          <w:szCs w:val="28"/>
          <w:lang w:val="uk-UA"/>
        </w:rPr>
        <w:t xml:space="preserve"> сесії </w:t>
      </w:r>
    </w:p>
    <w:p>
      <w:pPr>
        <w:pStyle w:val="style0"/>
        <w:shd w:fill="FFFFFF" w:val="clear"/>
        <w:tabs>
          <w:tab w:leader="none" w:pos="7740" w:val="left"/>
        </w:tabs>
        <w:spacing w:after="0" w:before="0" w:line="100" w:lineRule="atLeast"/>
        <w:contextualSpacing w:val="false"/>
        <w:rPr>
          <w:rFonts w:ascii="Times New Roman" w:cs="Times New Roman" w:hAnsi="Times New Roman"/>
          <w:color w:val="000000"/>
          <w:spacing w:val="-1"/>
          <w:sz w:val="28"/>
          <w:szCs w:val="28"/>
          <w:lang w:val="uk-UA"/>
        </w:rPr>
      </w:pPr>
      <w:r>
        <w:rPr>
          <w:rFonts w:ascii="Times New Roman" w:cs="Times New Roman" w:hAnsi="Times New Roman"/>
          <w:color w:val="000000"/>
          <w:spacing w:val="-1"/>
          <w:sz w:val="28"/>
          <w:szCs w:val="28"/>
          <w:lang w:val="uk-UA"/>
        </w:rPr>
        <w:t xml:space="preserve">Мелітопольської міської ради </w:t>
      </w:r>
    </w:p>
    <w:p>
      <w:pPr>
        <w:pStyle w:val="style0"/>
        <w:tabs>
          <w:tab w:leader="none" w:pos="3686" w:val="right"/>
        </w:tabs>
        <w:spacing w:after="0" w:before="0" w:line="100" w:lineRule="atLeast"/>
        <w:contextualSpacing w:val="false"/>
        <w:jc w:val="both"/>
        <w:rPr>
          <w:rFonts w:ascii="Times New Roman" w:cs="Times New Roman" w:hAnsi="Times New Roman"/>
          <w:color w:val="000000"/>
          <w:spacing w:val="-1"/>
          <w:sz w:val="28"/>
          <w:szCs w:val="28"/>
          <w:lang w:val="uk-UA"/>
        </w:rPr>
      </w:pPr>
      <w:r>
        <w:rPr>
          <w:rFonts w:ascii="Times New Roman" w:cs="Times New Roman" w:hAnsi="Times New Roman"/>
          <w:color w:val="000000"/>
          <w:spacing w:val="-1"/>
          <w:sz w:val="28"/>
          <w:szCs w:val="28"/>
          <w:lang w:val="uk-UA"/>
        </w:rPr>
        <w:t>Запорізької області VII скликання                                         _______________</w:t>
      </w:r>
    </w:p>
    <w:p>
      <w:pPr>
        <w:pStyle w:val="style0"/>
        <w:rPr>
          <w:rFonts w:ascii="Times New Roman" w:cs="Times New Roman" w:hAnsi="Times New Roman"/>
          <w:sz w:val="28"/>
          <w:szCs w:val="28"/>
        </w:rPr>
      </w:pPr>
      <w:r>
        <w:rPr>
          <w:rFonts w:ascii="Times New Roman" w:cs="Times New Roman" w:hAnsi="Times New Roman"/>
          <w:sz w:val="28"/>
          <w:szCs w:val="28"/>
        </w:rPr>
      </w:r>
    </w:p>
    <w:p>
      <w:pPr>
        <w:pStyle w:val="style0"/>
        <w:rPr>
          <w:rFonts w:ascii="Times New Roman" w:cs="Times New Roman" w:hAnsi="Times New Roman"/>
          <w:lang w:val="uk-UA"/>
        </w:rPr>
      </w:pPr>
      <w:r>
        <w:rPr>
          <w:rFonts w:ascii="Times New Roman" w:cs="Times New Roman" w:hAnsi="Times New Roman"/>
          <w:lang w:val="uk-UA"/>
        </w:rPr>
      </w:r>
    </w:p>
    <w:p>
      <w:pPr>
        <w:pStyle w:val="style0"/>
        <w:rPr>
          <w:rFonts w:ascii="Times New Roman" w:cs="Times New Roman" w:hAnsi="Times New Roman"/>
          <w:lang w:val="uk-UA"/>
        </w:rPr>
      </w:pPr>
      <w:r>
        <w:rPr>
          <w:rFonts w:ascii="Times New Roman" w:cs="Times New Roman" w:hAnsi="Times New Roman"/>
          <w:lang w:val="uk-UA"/>
        </w:rPr>
      </w:r>
    </w:p>
    <w:p>
      <w:pPr>
        <w:pStyle w:val="style0"/>
        <w:spacing w:after="0" w:before="0" w:line="100" w:lineRule="atLeast"/>
        <w:contextualSpacing w:val="false"/>
        <w:rPr>
          <w:rFonts w:ascii="Times New Roman" w:cs="Times New Roman" w:hAnsi="Times New Roman"/>
          <w:sz w:val="28"/>
          <w:szCs w:val="28"/>
          <w:lang w:val="uk-UA"/>
        </w:rPr>
      </w:pPr>
      <w:r>
        <w:rPr>
          <w:rFonts w:ascii="Times New Roman" w:cs="Times New Roman" w:hAnsi="Times New Roman"/>
          <w:sz w:val="28"/>
          <w:szCs w:val="28"/>
          <w:lang w:val="uk-UA"/>
        </w:rPr>
        <w:t>Рішення підготовлено та внесено:</w:t>
      </w:r>
    </w:p>
    <w:p>
      <w:pPr>
        <w:pStyle w:val="style0"/>
        <w:spacing w:after="0" w:before="0" w:line="100" w:lineRule="atLeast"/>
        <w:contextualSpacing w:val="false"/>
        <w:rPr>
          <w:rFonts w:ascii="Times New Roman" w:cs="Times New Roman" w:hAnsi="Times New Roman"/>
          <w:sz w:val="28"/>
          <w:szCs w:val="28"/>
          <w:lang w:val="uk-UA"/>
        </w:rPr>
      </w:pPr>
      <w:r>
        <w:rPr>
          <w:rFonts w:ascii="Times New Roman" w:cs="Times New Roman" w:hAnsi="Times New Roman"/>
          <w:sz w:val="28"/>
          <w:szCs w:val="28"/>
          <w:lang w:val="uk-UA"/>
        </w:rPr>
        <w:t xml:space="preserve">Депутат </w:t>
      </w:r>
    </w:p>
    <w:p>
      <w:pPr>
        <w:pStyle w:val="style0"/>
        <w:spacing w:after="0" w:before="0" w:line="100" w:lineRule="atLeast"/>
        <w:contextualSpacing w:val="false"/>
        <w:rPr>
          <w:rFonts w:ascii="Times New Roman" w:cs="Times New Roman" w:hAnsi="Times New Roman"/>
          <w:sz w:val="28"/>
          <w:szCs w:val="28"/>
          <w:lang w:val="uk-UA"/>
        </w:rPr>
      </w:pPr>
      <w:r>
        <w:rPr>
          <w:rFonts w:ascii="Times New Roman" w:cs="Times New Roman" w:hAnsi="Times New Roman"/>
          <w:sz w:val="28"/>
          <w:szCs w:val="28"/>
          <w:lang w:val="uk-UA"/>
        </w:rPr>
        <w:t xml:space="preserve">Мелітопольської міської ради </w:t>
      </w:r>
    </w:p>
    <w:p>
      <w:pPr>
        <w:pStyle w:val="style0"/>
        <w:spacing w:after="0" w:before="0" w:line="100" w:lineRule="atLeast"/>
        <w:contextualSpacing w:val="false"/>
        <w:rPr>
          <w:rFonts w:ascii="Times New Roman" w:cs="Times New Roman" w:hAnsi="Times New Roman"/>
          <w:sz w:val="28"/>
          <w:szCs w:val="28"/>
          <w:lang w:val="uk-UA"/>
        </w:rPr>
      </w:pPr>
      <w:r>
        <w:rPr>
          <w:rFonts w:ascii="Times New Roman" w:cs="Times New Roman" w:hAnsi="Times New Roman"/>
          <w:sz w:val="28"/>
          <w:szCs w:val="28"/>
          <w:lang w:val="uk-UA"/>
        </w:rPr>
        <w:t>Запорізької області VІІ скликання                                                    В.В. Сакун</w:t>
      </w:r>
    </w:p>
    <w:p>
      <w:pPr>
        <w:pStyle w:val="style0"/>
        <w:spacing w:after="0" w:before="0" w:line="100" w:lineRule="atLeast"/>
        <w:contextualSpacing w:val="false"/>
        <w:rPr>
          <w:rFonts w:ascii="Times New Roman" w:cs="Times New Roman" w:hAnsi="Times New Roman"/>
          <w:sz w:val="28"/>
          <w:szCs w:val="28"/>
          <w:lang w:val="uk-UA"/>
        </w:rPr>
      </w:pPr>
      <w:r>
        <w:rPr>
          <w:rFonts w:ascii="Times New Roman" w:cs="Times New Roman" w:hAnsi="Times New Roman"/>
          <w:sz w:val="28"/>
          <w:szCs w:val="28"/>
          <w:lang w:val="uk-UA"/>
        </w:rPr>
        <w:t xml:space="preserve">                                                                                                              </w:t>
      </w:r>
      <w:r>
        <w:rPr>
          <w:rFonts w:ascii="Times New Roman" w:cs="Times New Roman" w:hAnsi="Times New Roman"/>
          <w:sz w:val="28"/>
          <w:szCs w:val="28"/>
          <w:lang w:val="uk-UA"/>
        </w:rPr>
        <w:t>___________</w:t>
      </w:r>
    </w:p>
    <w:p>
      <w:pPr>
        <w:pStyle w:val="style0"/>
        <w:spacing w:after="0" w:before="0" w:line="100" w:lineRule="atLeast"/>
        <w:contextualSpacing w:val="false"/>
        <w:rPr>
          <w:rFonts w:ascii="Times New Roman" w:cs="Times New Roman" w:hAnsi="Times New Roman"/>
          <w:sz w:val="28"/>
          <w:szCs w:val="28"/>
          <w:lang w:val="uk-UA"/>
        </w:rPr>
      </w:pPr>
      <w:r>
        <w:rPr>
          <w:rFonts w:ascii="Times New Roman" w:cs="Times New Roman" w:hAnsi="Times New Roman"/>
          <w:sz w:val="28"/>
          <w:szCs w:val="28"/>
          <w:lang w:val="uk-UA"/>
        </w:rPr>
      </w:r>
    </w:p>
    <w:p>
      <w:pPr>
        <w:pStyle w:val="style0"/>
        <w:spacing w:after="0" w:before="0" w:line="100" w:lineRule="atLeast"/>
        <w:contextualSpacing w:val="false"/>
        <w:rPr>
          <w:rFonts w:ascii="Times New Roman" w:cs="Times New Roman" w:hAnsi="Times New Roman"/>
          <w:sz w:val="28"/>
          <w:szCs w:val="28"/>
          <w:lang w:val="uk-UA"/>
        </w:rPr>
      </w:pPr>
      <w:r>
        <w:rPr>
          <w:rFonts w:ascii="Times New Roman" w:cs="Times New Roman" w:hAnsi="Times New Roman"/>
          <w:sz w:val="28"/>
          <w:szCs w:val="28"/>
          <w:lang w:val="uk-UA"/>
        </w:rPr>
        <w:t>Погоджено:</w:t>
      </w:r>
    </w:p>
    <w:p>
      <w:pPr>
        <w:pStyle w:val="style0"/>
        <w:tabs>
          <w:tab w:leader="none" w:pos="4860" w:val="left"/>
        </w:tabs>
        <w:spacing w:after="0" w:before="0" w:line="100" w:lineRule="atLeast"/>
        <w:contextualSpacing w:val="false"/>
        <w:rPr>
          <w:rFonts w:ascii="Times New Roman" w:cs="Times New Roman" w:hAnsi="Times New Roman"/>
          <w:sz w:val="28"/>
          <w:szCs w:val="28"/>
          <w:lang w:val="uk-UA"/>
        </w:rPr>
      </w:pPr>
      <w:r>
        <w:rPr>
          <w:rFonts w:ascii="Times New Roman" w:cs="Times New Roman" w:hAnsi="Times New Roman"/>
          <w:sz w:val="28"/>
          <w:szCs w:val="28"/>
          <w:lang w:val="uk-UA"/>
        </w:rPr>
        <w:t>Начальник відділу судової роботи</w:t>
      </w:r>
    </w:p>
    <w:p>
      <w:pPr>
        <w:pStyle w:val="style0"/>
        <w:tabs>
          <w:tab w:leader="none" w:pos="4860" w:val="left"/>
        </w:tabs>
        <w:spacing w:after="0" w:before="0" w:line="100" w:lineRule="atLeast"/>
        <w:contextualSpacing w:val="false"/>
        <w:rPr>
          <w:rFonts w:ascii="Times New Roman" w:cs="Times New Roman" w:hAnsi="Times New Roman"/>
          <w:sz w:val="28"/>
          <w:szCs w:val="28"/>
          <w:lang w:val="uk-UA"/>
        </w:rPr>
      </w:pPr>
      <w:r>
        <w:rPr>
          <w:rFonts w:ascii="Times New Roman" w:cs="Times New Roman" w:hAnsi="Times New Roman"/>
          <w:sz w:val="28"/>
          <w:szCs w:val="28"/>
          <w:lang w:val="uk-UA"/>
        </w:rPr>
        <w:t>управління правового забезпечення</w:t>
        <w:tab/>
        <w:tab/>
        <w:tab/>
        <w:t xml:space="preserve">                    </w:t>
        <w:tab/>
        <w:t xml:space="preserve">      Я.О. Солгалова</w:t>
      </w:r>
    </w:p>
    <w:p>
      <w:pPr>
        <w:sectPr>
          <w:type w:val="nextPage"/>
          <w:pgSz w:h="16838" w:w="11906"/>
          <w:pgMar w:bottom="1134" w:footer="0" w:gutter="0" w:header="0" w:left="1701" w:right="850" w:top="1134"/>
          <w:pgNumType w:fmt="decimal"/>
          <w:formProt w:val="false"/>
          <w:textDirection w:val="lrTb"/>
          <w:docGrid w:charSpace="8192" w:linePitch="360" w:type="default"/>
        </w:sectPr>
        <w:pStyle w:val="style0"/>
        <w:tabs>
          <w:tab w:leader="none" w:pos="4860" w:val="left"/>
        </w:tabs>
        <w:spacing w:after="0" w:before="0" w:line="100" w:lineRule="atLeast"/>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ab/>
        <w:tab/>
        <w:tab/>
        <w:tab/>
        <w:t xml:space="preserve">                 ____________ </w:t>
      </w:r>
    </w:p>
    <w:p>
      <w:pPr>
        <w:pStyle w:val="style0"/>
        <w:widowControl w:val="false"/>
        <w:spacing w:after="0" w:before="0" w:line="100" w:lineRule="atLeast"/>
        <w:ind w:hanging="0" w:left="4860"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Додаток</w:t>
      </w:r>
    </w:p>
    <w:p>
      <w:pPr>
        <w:pStyle w:val="style0"/>
        <w:widowControl w:val="false"/>
        <w:spacing w:after="0" w:before="0" w:line="100" w:lineRule="atLeast"/>
        <w:ind w:hanging="0" w:left="4860"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xml:space="preserve">до рішення _ сесії Мелітопольської міської ради Запорізької області </w:t>
      </w:r>
      <w:r>
        <w:rPr>
          <w:rFonts w:ascii="Times New Roman" w:cs="Times New Roman" w:hAnsi="Times New Roman"/>
          <w:sz w:val="28"/>
          <w:szCs w:val="28"/>
          <w:lang w:val="en-US"/>
        </w:rPr>
        <w:t>VI</w:t>
      </w:r>
      <w:r>
        <w:rPr>
          <w:rFonts w:ascii="Times New Roman" w:cs="Times New Roman" w:hAnsi="Times New Roman"/>
          <w:sz w:val="28"/>
          <w:szCs w:val="28"/>
          <w:lang w:val="uk-UA"/>
        </w:rPr>
        <w:t>І скликання «Про затвердження Положення про постійні  депутатські комісії Мелітопольської міської ради Запорізької області VІІ скликання»</w:t>
      </w:r>
    </w:p>
    <w:p>
      <w:pPr>
        <w:pStyle w:val="style0"/>
        <w:widowControl w:val="false"/>
        <w:tabs>
          <w:tab w:leader="none" w:pos="8447" w:val="left"/>
        </w:tabs>
        <w:spacing w:after="0" w:before="0" w:line="100" w:lineRule="atLeast"/>
        <w:ind w:hanging="0" w:left="4860" w:right="-2"/>
        <w:contextualSpacing w:val="false"/>
        <w:jc w:val="both"/>
        <w:rPr>
          <w:rFonts w:ascii="Times New Roman" w:cs="Times New Roman" w:hAnsi="Times New Roman"/>
          <w:color w:val="000000"/>
          <w:sz w:val="28"/>
          <w:szCs w:val="28"/>
          <w:lang w:val="uk-UA"/>
        </w:rPr>
      </w:pPr>
      <w:r>
        <w:rPr>
          <w:rFonts w:ascii="Times New Roman" w:cs="Times New Roman" w:hAnsi="Times New Roman"/>
          <w:color w:val="000000"/>
          <w:sz w:val="28"/>
          <w:szCs w:val="28"/>
          <w:lang w:val="uk-UA"/>
        </w:rPr>
        <w:t>від _______________ № __</w:t>
      </w:r>
    </w:p>
    <w:p>
      <w:pPr>
        <w:pStyle w:val="style0"/>
        <w:widowControl w:val="false"/>
        <w:spacing w:after="0" w:before="0" w:line="100" w:lineRule="atLeast"/>
        <w:ind w:hanging="0" w:left="0" w:right="-2"/>
        <w:contextualSpacing w:val="false"/>
        <w:jc w:val="center"/>
        <w:rPr>
          <w:rFonts w:ascii="Times New Roman" w:cs="Times New Roman" w:hAnsi="Times New Roman"/>
          <w:b/>
          <w:bCs/>
          <w:sz w:val="28"/>
          <w:szCs w:val="28"/>
          <w:lang w:val="uk-UA"/>
        </w:rPr>
      </w:pPr>
      <w:r>
        <w:rPr>
          <w:rFonts w:ascii="Times New Roman" w:cs="Times New Roman" w:hAnsi="Times New Roman"/>
          <w:b/>
          <w:bCs/>
          <w:sz w:val="28"/>
          <w:szCs w:val="28"/>
          <w:lang w:val="uk-UA"/>
        </w:rPr>
      </w:r>
    </w:p>
    <w:p>
      <w:pPr>
        <w:pStyle w:val="style0"/>
        <w:widowControl w:val="false"/>
        <w:spacing w:after="0" w:before="0" w:line="100" w:lineRule="atLeast"/>
        <w:ind w:hanging="0" w:left="0" w:right="-2"/>
        <w:contextualSpacing w:val="false"/>
        <w:jc w:val="center"/>
        <w:rPr>
          <w:rFonts w:ascii="Times New Roman" w:cs="Times New Roman" w:hAnsi="Times New Roman"/>
          <w:b/>
          <w:bCs/>
          <w:sz w:val="28"/>
          <w:szCs w:val="28"/>
          <w:lang w:val="uk-UA"/>
        </w:rPr>
      </w:pPr>
      <w:r>
        <w:rPr>
          <w:rFonts w:ascii="Times New Roman" w:cs="Times New Roman" w:hAnsi="Times New Roman"/>
          <w:b/>
          <w:bCs/>
          <w:sz w:val="28"/>
          <w:szCs w:val="28"/>
          <w:lang w:val="uk-UA"/>
        </w:rPr>
      </w:r>
    </w:p>
    <w:p>
      <w:pPr>
        <w:pStyle w:val="style0"/>
        <w:widowControl w:val="false"/>
        <w:spacing w:after="0" w:before="0" w:line="100" w:lineRule="atLeast"/>
        <w:ind w:hanging="0" w:left="0" w:right="-2"/>
        <w:contextualSpacing w:val="false"/>
        <w:jc w:val="center"/>
        <w:rPr>
          <w:rFonts w:ascii="Times New Roman" w:cs="Times New Roman" w:hAnsi="Times New Roman"/>
          <w:b/>
          <w:bCs/>
          <w:sz w:val="28"/>
          <w:szCs w:val="28"/>
          <w:lang w:val="uk-UA"/>
        </w:rPr>
      </w:pPr>
      <w:r>
        <w:rPr>
          <w:rFonts w:ascii="Times New Roman" w:cs="Times New Roman" w:hAnsi="Times New Roman"/>
          <w:b/>
          <w:bCs/>
          <w:sz w:val="28"/>
          <w:szCs w:val="28"/>
          <w:lang w:val="uk-UA"/>
        </w:rPr>
      </w:r>
    </w:p>
    <w:p>
      <w:pPr>
        <w:pStyle w:val="style0"/>
        <w:widowControl w:val="false"/>
        <w:spacing w:after="0" w:before="0" w:line="100" w:lineRule="atLeast"/>
        <w:ind w:hanging="0" w:left="0" w:right="-2"/>
        <w:contextualSpacing w:val="false"/>
        <w:jc w:val="center"/>
        <w:rPr>
          <w:rFonts w:ascii="Times New Roman" w:cs="Times New Roman" w:hAnsi="Times New Roman"/>
          <w:b/>
          <w:bCs/>
          <w:sz w:val="32"/>
          <w:szCs w:val="32"/>
          <w:lang w:val="uk-UA"/>
        </w:rPr>
      </w:pPr>
      <w:r>
        <w:rPr>
          <w:rFonts w:ascii="Times New Roman" w:cs="Times New Roman" w:hAnsi="Times New Roman"/>
          <w:b/>
          <w:bCs/>
          <w:sz w:val="32"/>
          <w:szCs w:val="32"/>
          <w:lang w:val="uk-UA"/>
        </w:rPr>
        <w:t>ПОЛОЖЕННЯ</w:t>
      </w:r>
    </w:p>
    <w:p>
      <w:pPr>
        <w:pStyle w:val="style0"/>
        <w:widowControl w:val="false"/>
        <w:spacing w:after="0" w:before="0" w:line="100" w:lineRule="atLeast"/>
        <w:ind w:hanging="0" w:left="0" w:right="-2"/>
        <w:contextualSpacing w:val="false"/>
        <w:jc w:val="center"/>
        <w:rPr>
          <w:rFonts w:ascii="Times New Roman" w:cs="Times New Roman" w:hAnsi="Times New Roman"/>
          <w:b/>
          <w:bCs/>
          <w:sz w:val="32"/>
          <w:szCs w:val="32"/>
          <w:lang w:val="uk-UA"/>
        </w:rPr>
      </w:pPr>
      <w:r>
        <w:rPr>
          <w:rFonts w:ascii="Times New Roman" w:cs="Times New Roman" w:hAnsi="Times New Roman"/>
          <w:b/>
          <w:bCs/>
          <w:sz w:val="32"/>
          <w:szCs w:val="32"/>
          <w:lang w:val="uk-UA"/>
        </w:rPr>
      </w:r>
    </w:p>
    <w:p>
      <w:pPr>
        <w:pStyle w:val="style0"/>
        <w:widowControl w:val="false"/>
        <w:tabs>
          <w:tab w:leader="none" w:pos="851" w:val="left"/>
        </w:tabs>
        <w:spacing w:after="0" w:before="0" w:line="100" w:lineRule="atLeast"/>
        <w:ind w:hanging="0" w:left="0" w:right="-2"/>
        <w:contextualSpacing w:val="false"/>
        <w:jc w:val="center"/>
        <w:rPr>
          <w:rFonts w:ascii="Times New Roman" w:cs="Times New Roman" w:hAnsi="Times New Roman"/>
          <w:b/>
          <w:bCs/>
          <w:sz w:val="32"/>
          <w:szCs w:val="32"/>
          <w:lang w:val="uk-UA"/>
        </w:rPr>
      </w:pPr>
      <w:r>
        <w:rPr>
          <w:rFonts w:ascii="Times New Roman" w:cs="Times New Roman" w:hAnsi="Times New Roman"/>
          <w:b/>
          <w:bCs/>
          <w:sz w:val="32"/>
          <w:szCs w:val="32"/>
          <w:lang w:val="uk-UA"/>
        </w:rPr>
        <w:t xml:space="preserve">про постійні депутатські комісії </w:t>
      </w:r>
      <w:r>
        <w:rPr>
          <w:rFonts w:ascii="Times New Roman" w:cs="Times New Roman" w:hAnsi="Times New Roman"/>
          <w:b/>
          <w:sz w:val="32"/>
          <w:szCs w:val="32"/>
          <w:lang w:val="uk-UA"/>
        </w:rPr>
        <w:t>Мелітопольської</w:t>
      </w:r>
      <w:r>
        <w:rPr>
          <w:rFonts w:ascii="Times New Roman" w:cs="Times New Roman" w:hAnsi="Times New Roman"/>
          <w:b/>
          <w:bCs/>
          <w:sz w:val="32"/>
          <w:szCs w:val="32"/>
          <w:lang w:val="uk-UA"/>
        </w:rPr>
        <w:t xml:space="preserve"> міської ради Запорізької області VІІ скликання</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18"/>
          <w:szCs w:val="18"/>
          <w:lang w:val="uk-UA"/>
        </w:rPr>
      </w:pPr>
      <w:r>
        <w:rPr>
          <w:rFonts w:ascii="Times New Roman" w:cs="Times New Roman" w:hAnsi="Times New Roman"/>
          <w:sz w:val="18"/>
          <w:szCs w:val="18"/>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18"/>
          <w:szCs w:val="18"/>
          <w:lang w:val="uk-UA"/>
        </w:rPr>
      </w:pPr>
      <w:r>
        <w:rPr>
          <w:rFonts w:ascii="Times New Roman" w:cs="Times New Roman" w:hAnsi="Times New Roman"/>
          <w:sz w:val="18"/>
          <w:szCs w:val="18"/>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18"/>
          <w:szCs w:val="18"/>
          <w:lang w:val="uk-UA"/>
        </w:rPr>
      </w:pPr>
      <w:r>
        <w:rPr>
          <w:rFonts w:ascii="Times New Roman" w:cs="Times New Roman" w:hAnsi="Times New Roman"/>
          <w:sz w:val="18"/>
          <w:szCs w:val="18"/>
          <w:lang w:val="uk-UA"/>
        </w:rPr>
      </w:r>
    </w:p>
    <w:p>
      <w:pPr>
        <w:pStyle w:val="style0"/>
        <w:widowControl w:val="false"/>
        <w:tabs>
          <w:tab w:leader="none" w:pos="851" w:val="left"/>
        </w:tabs>
        <w:spacing w:after="0" w:before="0" w:line="100" w:lineRule="atLeast"/>
        <w:ind w:firstLine="510" w:left="57" w:right="-2"/>
        <w:contextualSpacing w:val="false"/>
        <w:jc w:val="center"/>
        <w:rPr>
          <w:rFonts w:ascii="Times New Roman" w:cs="Times New Roman" w:hAnsi="Times New Roman"/>
          <w:b/>
          <w:bCs/>
          <w:sz w:val="28"/>
          <w:szCs w:val="28"/>
          <w:lang w:val="uk-UA"/>
        </w:rPr>
      </w:pPr>
      <w:r>
        <w:rPr>
          <w:rFonts w:ascii="Times New Roman" w:cs="Times New Roman" w:hAnsi="Times New Roman"/>
          <w:b/>
          <w:bCs/>
          <w:sz w:val="28"/>
          <w:szCs w:val="28"/>
          <w:lang w:val="uk-UA"/>
        </w:rPr>
        <w:t>Розділ І. ЗАГАЛЬНІ ПОЛОЖЕННЯ</w:t>
      </w:r>
    </w:p>
    <w:p>
      <w:pPr>
        <w:pStyle w:val="style0"/>
        <w:widowControl w:val="false"/>
        <w:tabs>
          <w:tab w:leader="none" w:pos="851" w:val="left"/>
        </w:tabs>
        <w:spacing w:after="0" w:before="0" w:line="100" w:lineRule="atLeast"/>
        <w:ind w:firstLine="510" w:left="57" w:right="-2"/>
        <w:contextualSpacing w:val="false"/>
        <w:jc w:val="center"/>
        <w:rPr>
          <w:rFonts w:ascii="Times New Roman" w:cs="Times New Roman" w:hAnsi="Times New Roman"/>
          <w:sz w:val="18"/>
          <w:szCs w:val="18"/>
          <w:lang w:val="uk-UA"/>
        </w:rPr>
      </w:pPr>
      <w:r>
        <w:rPr>
          <w:rFonts w:ascii="Times New Roman" w:cs="Times New Roman" w:hAnsi="Times New Roman"/>
          <w:sz w:val="18"/>
          <w:szCs w:val="18"/>
          <w:lang w:val="uk-UA"/>
        </w:rPr>
      </w:r>
    </w:p>
    <w:p>
      <w:pPr>
        <w:pStyle w:val="style0"/>
        <w:widowControl w:val="false"/>
        <w:tabs>
          <w:tab w:leader="none" w:pos="851" w:val="left"/>
        </w:tabs>
        <w:spacing w:after="0" w:before="0" w:line="100" w:lineRule="atLeast"/>
        <w:ind w:firstLine="510" w:left="57" w:right="-2"/>
        <w:contextualSpacing w:val="false"/>
        <w:jc w:val="center"/>
        <w:rPr>
          <w:rFonts w:ascii="Times New Roman" w:cs="Times New Roman" w:hAnsi="Times New Roman"/>
          <w:b/>
          <w:bCs/>
          <w:sz w:val="28"/>
          <w:szCs w:val="28"/>
          <w:lang w:val="uk-UA"/>
        </w:rPr>
      </w:pPr>
      <w:r>
        <w:rPr>
          <w:rFonts w:ascii="Times New Roman" w:cs="Times New Roman" w:hAnsi="Times New Roman"/>
          <w:b/>
          <w:bCs/>
          <w:sz w:val="28"/>
          <w:szCs w:val="28"/>
          <w:lang w:val="uk-UA"/>
        </w:rPr>
        <w:t xml:space="preserve">Стаття 1. Постійні депутатські комісії </w:t>
      </w:r>
      <w:r>
        <w:rPr>
          <w:rFonts w:ascii="Times New Roman" w:cs="Times New Roman" w:hAnsi="Times New Roman"/>
          <w:b/>
          <w:sz w:val="28"/>
          <w:szCs w:val="28"/>
          <w:lang w:val="uk-UA"/>
        </w:rPr>
        <w:t>Мелітопольської</w:t>
      </w:r>
      <w:r>
        <w:rPr>
          <w:rFonts w:ascii="Times New Roman" w:cs="Times New Roman" w:hAnsi="Times New Roman"/>
          <w:b/>
          <w:bCs/>
          <w:sz w:val="28"/>
          <w:szCs w:val="28"/>
          <w:lang w:val="uk-UA"/>
        </w:rPr>
        <w:t xml:space="preserve"> міської ради Запорізької області VІІ скликання</w:t>
      </w:r>
    </w:p>
    <w:p>
      <w:pPr>
        <w:pStyle w:val="style0"/>
        <w:widowControl w:val="false"/>
        <w:numPr>
          <w:ilvl w:val="0"/>
          <w:numId w:val="1"/>
        </w:numPr>
        <w:tabs>
          <w:tab w:leader="none" w:pos="851" w:val="left"/>
          <w:tab w:leader="none" w:pos="1080" w:val="left"/>
        </w:tabs>
        <w:spacing w:after="0" w:before="0" w:line="100" w:lineRule="atLeast"/>
        <w:ind w:hanging="360" w:left="128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xml:space="preserve">Постійні депутатські комісії Мелітопольської міської ради Запорізької області VII скликання (далі – Постійні комісії) є органами Мелітопольської міської ради </w:t>
      </w:r>
      <w:r>
        <w:rPr>
          <w:rFonts w:ascii="Times New Roman" w:cs="Times New Roman" w:hAnsi="Times New Roman"/>
          <w:sz w:val="28"/>
          <w:szCs w:val="28"/>
          <w:lang w:val="en-US"/>
        </w:rPr>
        <w:t>VI</w:t>
      </w:r>
      <w:r>
        <w:rPr>
          <w:rFonts w:ascii="Times New Roman" w:cs="Times New Roman" w:hAnsi="Times New Roman"/>
          <w:sz w:val="28"/>
          <w:szCs w:val="28"/>
          <w:lang w:val="uk-UA"/>
        </w:rPr>
        <w:t>І скликання (далі – Ради), що обираються з числа її депутатів для вивчення, попереднього розгляду й підготовки питань, які належать до її компетенції, здійснення контролю за виконанням рішень Ради та її виконавчого комітету.</w:t>
      </w:r>
    </w:p>
    <w:p>
      <w:pPr>
        <w:pStyle w:val="style0"/>
        <w:widowControl w:val="false"/>
        <w:numPr>
          <w:ilvl w:val="0"/>
          <w:numId w:val="1"/>
        </w:numPr>
        <w:tabs>
          <w:tab w:leader="none" w:pos="851" w:val="left"/>
          <w:tab w:leader="none" w:pos="1080" w:val="left"/>
        </w:tabs>
        <w:spacing w:after="0" w:before="0" w:line="100" w:lineRule="atLeast"/>
        <w:ind w:hanging="360" w:left="128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Постійні комісії є підзвітними Раді та відповідальними перед нею.</w:t>
      </w:r>
    </w:p>
    <w:p>
      <w:pPr>
        <w:pStyle w:val="style0"/>
        <w:widowControl w:val="false"/>
        <w:numPr>
          <w:ilvl w:val="0"/>
          <w:numId w:val="1"/>
        </w:numPr>
        <w:tabs>
          <w:tab w:leader="none" w:pos="851" w:val="left"/>
          <w:tab w:leader="none" w:pos="1080" w:val="left"/>
        </w:tabs>
        <w:spacing w:after="0" w:before="0" w:line="100" w:lineRule="atLeast"/>
        <w:ind w:hanging="360" w:left="128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Порядок формування Постійних комісій визначається Регламентом  Мелітопольської міської ради Запорізької області VІІ скликання (далі – Регламент).</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18"/>
          <w:szCs w:val="18"/>
          <w:lang w:val="uk-UA"/>
        </w:rPr>
      </w:pPr>
      <w:r>
        <w:rPr>
          <w:rFonts w:ascii="Times New Roman" w:cs="Times New Roman" w:hAnsi="Times New Roman"/>
          <w:sz w:val="18"/>
          <w:szCs w:val="18"/>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b/>
          <w:bCs/>
          <w:sz w:val="28"/>
          <w:szCs w:val="28"/>
          <w:lang w:val="uk-UA"/>
        </w:rPr>
      </w:pPr>
      <w:r>
        <w:rPr>
          <w:rFonts w:ascii="Times New Roman" w:cs="Times New Roman" w:hAnsi="Times New Roman"/>
          <w:b/>
          <w:bCs/>
          <w:sz w:val="28"/>
          <w:szCs w:val="28"/>
          <w:lang w:val="uk-UA"/>
        </w:rPr>
        <w:t>Стаття 2. Правові засади діяльності Постійних комісій</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1.</w:t>
        <w:tab/>
        <w:t>Постійні комісії у своїй діяльності керуються Конституцією України, законами України «Про місцеве самоврядування в Україні», «Про статус депутатів місцевих рад», іншими нормативно-правовими актами, Регламентом та цим Положенням.</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18"/>
          <w:szCs w:val="18"/>
          <w:lang w:val="uk-UA"/>
        </w:rPr>
      </w:pPr>
      <w:r>
        <w:rPr>
          <w:rFonts w:ascii="Times New Roman" w:cs="Times New Roman" w:hAnsi="Times New Roman"/>
          <w:sz w:val="18"/>
          <w:szCs w:val="18"/>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b/>
          <w:bCs/>
          <w:sz w:val="28"/>
          <w:szCs w:val="28"/>
          <w:lang w:val="uk-UA"/>
        </w:rPr>
      </w:pPr>
      <w:r>
        <w:rPr>
          <w:rFonts w:ascii="Times New Roman" w:cs="Times New Roman" w:hAnsi="Times New Roman"/>
          <w:b/>
          <w:bCs/>
          <w:sz w:val="28"/>
          <w:szCs w:val="28"/>
          <w:lang w:val="uk-UA"/>
        </w:rPr>
        <w:t>Стаття 3. Склад Постійних комісій</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1.</w:t>
        <w:tab/>
        <w:t>Постійні комісії обираються Радою на строк її повноважень у складі голови та членів комісії. Депутат Ради повинен входити до складу однієї з Постійних комісій.</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2.</w:t>
        <w:tab/>
        <w:t>До складу Постійних комісій не можуть бути обрані міський голова та секретар міської ради.</w:t>
      </w:r>
    </w:p>
    <w:p>
      <w:pPr>
        <w:pStyle w:val="style0"/>
        <w:widowControl w:val="false"/>
        <w:spacing w:after="0" w:before="0" w:line="100" w:lineRule="atLeast"/>
        <w:ind w:firstLine="567" w:left="0"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3. Кількісний склад Постійної комісії не повинен перевищувати 9 депутатів. Мінімальний склад – 4 депутати.</w:t>
      </w:r>
    </w:p>
    <w:p>
      <w:pPr>
        <w:pStyle w:val="style0"/>
        <w:widowControl w:val="false"/>
        <w:tabs>
          <w:tab w:leader="none" w:pos="851" w:val="left"/>
        </w:tabs>
        <w:spacing w:after="0" w:before="0" w:line="100" w:lineRule="atLeast"/>
        <w:ind w:firstLine="510" w:left="0"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4.</w:t>
        <w:tab/>
        <w:t>Персональний склад Постійних комісій формується за принципом пропорційного представництва в кожній комісії депутатів, обраних від політичних сил, з урахуванням бажання депутатів працювати у відповідній комісії, їхньої фахової підготовки та професійного рівня. Керівники виконавчих органів та комунальних підприємств Ради не можуть бути головою Постійної комісії відповідного профілю.</w:t>
      </w:r>
    </w:p>
    <w:p>
      <w:pPr>
        <w:pStyle w:val="style0"/>
        <w:widowControl w:val="false"/>
        <w:tabs>
          <w:tab w:leader="none" w:pos="851" w:val="left"/>
        </w:tabs>
        <w:spacing w:after="0" w:before="0" w:line="100" w:lineRule="atLeast"/>
        <w:ind w:firstLine="510" w:left="0"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5. Голова та члени Постійної комісії не є посадовими (службовими) особами та виконують свої функції на громадських засадах.</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6.</w:t>
        <w:tab/>
        <w:t>Депутати Ради працюють у Постійних комісіях на громадських засадах.</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7.</w:t>
        <w:tab/>
        <w:t xml:space="preserve">Інші питання структури Постійної комісії вирішуються відповідною комісією.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xml:space="preserve">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b/>
          <w:bCs/>
          <w:sz w:val="28"/>
          <w:szCs w:val="28"/>
          <w:lang w:val="uk-UA"/>
        </w:rPr>
      </w:pPr>
      <w:r>
        <w:rPr>
          <w:rFonts w:ascii="Times New Roman" w:cs="Times New Roman" w:hAnsi="Times New Roman"/>
          <w:b/>
          <w:bCs/>
          <w:sz w:val="28"/>
          <w:szCs w:val="28"/>
          <w:lang w:val="uk-UA"/>
        </w:rPr>
        <w:t>Стаття 4. Внесення змін до Положення</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1.</w:t>
        <w:tab/>
        <w:t xml:space="preserve">Дане Положення та зміни до нього затверджуються рішенням Ради на пленарних засіданнях сесій.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2.</w:t>
        <w:tab/>
        <w:t xml:space="preserve">Пропозиції щодо внесення змін до цього Положення можуть вноситися міським головою, депутатами, Постійними комісіями, депутатськими групами і фракціями. </w:t>
      </w:r>
    </w:p>
    <w:p>
      <w:pPr>
        <w:pStyle w:val="style0"/>
        <w:widowControl w:val="false"/>
        <w:tabs>
          <w:tab w:leader="none" w:pos="851" w:val="left"/>
        </w:tabs>
        <w:spacing w:after="0" w:before="0" w:line="100" w:lineRule="atLeast"/>
        <w:ind w:hanging="0" w:left="0" w:right="-2"/>
        <w:contextualSpacing w:val="false"/>
        <w:jc w:val="center"/>
        <w:rPr>
          <w:rFonts w:ascii="Times New Roman" w:cs="Times New Roman" w:hAnsi="Times New Roman"/>
          <w:b/>
          <w:bCs/>
          <w:sz w:val="28"/>
          <w:szCs w:val="28"/>
          <w:lang w:val="uk-UA"/>
        </w:rPr>
      </w:pPr>
      <w:r>
        <w:rPr>
          <w:rFonts w:ascii="Times New Roman" w:cs="Times New Roman" w:hAnsi="Times New Roman"/>
          <w:b/>
          <w:bCs/>
          <w:sz w:val="28"/>
          <w:szCs w:val="28"/>
          <w:lang w:val="uk-UA"/>
        </w:rPr>
      </w:r>
    </w:p>
    <w:p>
      <w:pPr>
        <w:pStyle w:val="style0"/>
        <w:widowControl w:val="false"/>
        <w:tabs>
          <w:tab w:leader="none" w:pos="851" w:val="left"/>
        </w:tabs>
        <w:spacing w:after="0" w:before="0" w:line="100" w:lineRule="atLeast"/>
        <w:ind w:hanging="0" w:left="0" w:right="-2"/>
        <w:contextualSpacing w:val="false"/>
        <w:jc w:val="center"/>
        <w:rPr>
          <w:rFonts w:ascii="Times New Roman" w:cs="Times New Roman" w:hAnsi="Times New Roman"/>
          <w:b/>
          <w:bCs/>
          <w:sz w:val="28"/>
          <w:szCs w:val="28"/>
          <w:lang w:val="uk-UA"/>
        </w:rPr>
      </w:pPr>
      <w:r>
        <w:rPr>
          <w:rFonts w:ascii="Times New Roman" w:cs="Times New Roman" w:hAnsi="Times New Roman"/>
          <w:b/>
          <w:bCs/>
          <w:sz w:val="28"/>
          <w:szCs w:val="28"/>
          <w:lang w:val="uk-UA"/>
        </w:rPr>
        <w:t xml:space="preserve">Розділ II. </w:t>
      </w:r>
    </w:p>
    <w:p>
      <w:pPr>
        <w:pStyle w:val="style0"/>
        <w:widowControl w:val="false"/>
        <w:tabs>
          <w:tab w:leader="none" w:pos="851" w:val="left"/>
        </w:tabs>
        <w:spacing w:after="0" w:before="0" w:line="100" w:lineRule="atLeast"/>
        <w:ind w:hanging="0" w:left="0" w:right="-2"/>
        <w:contextualSpacing w:val="false"/>
        <w:jc w:val="center"/>
        <w:rPr>
          <w:rFonts w:ascii="Times New Roman" w:cs="Times New Roman" w:hAnsi="Times New Roman"/>
          <w:b/>
          <w:bCs/>
          <w:sz w:val="28"/>
          <w:szCs w:val="28"/>
          <w:lang w:val="uk-UA"/>
        </w:rPr>
      </w:pPr>
      <w:r>
        <w:rPr>
          <w:rFonts w:ascii="Times New Roman" w:cs="Times New Roman" w:hAnsi="Times New Roman"/>
          <w:b/>
          <w:bCs/>
          <w:sz w:val="28"/>
          <w:szCs w:val="28"/>
          <w:lang w:val="uk-UA"/>
        </w:rPr>
        <w:t xml:space="preserve">ОРГАНІЗАЦІЯ РОБОТИ ПОСТІЙНИХ КОМІСІЙ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18"/>
          <w:szCs w:val="18"/>
          <w:lang w:val="uk-UA"/>
        </w:rPr>
      </w:pPr>
      <w:r>
        <w:rPr>
          <w:rFonts w:ascii="Times New Roman" w:cs="Times New Roman" w:hAnsi="Times New Roman"/>
          <w:sz w:val="18"/>
          <w:szCs w:val="18"/>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b/>
          <w:bCs/>
          <w:sz w:val="28"/>
          <w:szCs w:val="28"/>
          <w:lang w:val="uk-UA"/>
        </w:rPr>
      </w:pPr>
      <w:r>
        <w:rPr>
          <w:rFonts w:ascii="Times New Roman" w:cs="Times New Roman" w:hAnsi="Times New Roman"/>
          <w:b/>
          <w:bCs/>
          <w:sz w:val="28"/>
          <w:szCs w:val="28"/>
          <w:lang w:val="uk-UA"/>
        </w:rPr>
        <w:t>Стаття 5. Загальні засади організації роботи Постійних комісій</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1.</w:t>
        <w:tab/>
        <w:t xml:space="preserve">Постійні комісії організовують свою роботу шляхом розв’язання питань, що відносяться до їх компетенції, на своїх засіданнях або шляхом внесення їх на розгляд Ради у порядку, встановленому цим Положенням і Регламентом.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18"/>
          <w:szCs w:val="18"/>
          <w:lang w:val="uk-UA"/>
        </w:rPr>
      </w:pPr>
      <w:r>
        <w:rPr>
          <w:rFonts w:ascii="Times New Roman" w:cs="Times New Roman" w:hAnsi="Times New Roman"/>
          <w:sz w:val="18"/>
          <w:szCs w:val="18"/>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b/>
          <w:bCs/>
          <w:sz w:val="28"/>
          <w:szCs w:val="28"/>
          <w:lang w:val="uk-UA"/>
        </w:rPr>
      </w:pPr>
      <w:r>
        <w:rPr>
          <w:rFonts w:ascii="Times New Roman" w:cs="Times New Roman" w:hAnsi="Times New Roman"/>
          <w:b/>
          <w:bCs/>
          <w:sz w:val="28"/>
          <w:szCs w:val="28"/>
          <w:lang w:val="uk-UA"/>
        </w:rPr>
        <w:t>Стаття 6. Розподіл обов’язків у Постійних комісіях</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1.</w:t>
        <w:tab/>
        <w:t xml:space="preserve">Постійні комісії на своїх засіданнях здійснюють розподіл обов'язків між членами комісій.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2.</w:t>
        <w:tab/>
        <w:t xml:space="preserve">Постійні комісії доручають заступнику голови комісії або її секретарю організовувати взаємодію з іншими Постійними комісіями.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18"/>
          <w:szCs w:val="18"/>
          <w:lang w:val="uk-UA"/>
        </w:rPr>
      </w:pPr>
      <w:r>
        <w:rPr>
          <w:rFonts w:ascii="Times New Roman" w:cs="Times New Roman" w:hAnsi="Times New Roman"/>
          <w:sz w:val="18"/>
          <w:szCs w:val="18"/>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b/>
          <w:bCs/>
          <w:sz w:val="28"/>
          <w:szCs w:val="28"/>
          <w:lang w:val="uk-UA"/>
        </w:rPr>
      </w:pPr>
      <w:r>
        <w:rPr>
          <w:rFonts w:ascii="Times New Roman" w:cs="Times New Roman" w:hAnsi="Times New Roman"/>
          <w:b/>
          <w:bCs/>
          <w:sz w:val="28"/>
          <w:szCs w:val="28"/>
          <w:lang w:val="uk-UA"/>
        </w:rPr>
        <w:t>Стаття 7. Голова Постійної комісії</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1.</w:t>
        <w:tab/>
        <w:t>Організація роботи Постійної комісії покладається на голову комісії, який обирається Радою на її пленарному засіданні відкритим голосуванням більшістю депутатів від загального складу Ради.</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2.</w:t>
        <w:tab/>
        <w:t>Голова Постійної комісії:</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1) скликає і веде засідання комісії, підписує протоколи, висновки та рекомендації комісії;</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2) організовує підготовку необхідних матеріалів на засідання комісії, дає доручення членам комісії;</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3) представляє комісію у відносинах з іншими органами, об’єднаннями громадян, підприємствами, установами, організаціями, а також громадянами;</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4) організовує роботу з реалізації висновків та рекомендацій комісії.</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3.</w:t>
        <w:tab/>
        <w:t xml:space="preserve">Голова Постійної комісії відповідає перед Радою за діяльність комісії.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18"/>
          <w:szCs w:val="18"/>
          <w:lang w:val="uk-UA"/>
        </w:rPr>
      </w:pPr>
      <w:r>
        <w:rPr>
          <w:rFonts w:ascii="Times New Roman" w:cs="Times New Roman" w:hAnsi="Times New Roman"/>
          <w:sz w:val="18"/>
          <w:szCs w:val="18"/>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b/>
          <w:bCs/>
          <w:sz w:val="28"/>
          <w:szCs w:val="28"/>
          <w:lang w:val="uk-UA"/>
        </w:rPr>
      </w:pPr>
      <w:r>
        <w:rPr>
          <w:rFonts w:ascii="Times New Roman" w:cs="Times New Roman" w:hAnsi="Times New Roman"/>
          <w:b/>
          <w:bCs/>
          <w:sz w:val="28"/>
          <w:szCs w:val="28"/>
          <w:lang w:val="uk-UA"/>
        </w:rPr>
        <w:t>Стаття 8. Заступник голови Постійної комісії</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1.</w:t>
        <w:tab/>
        <w:t>Заступник голови Постійної комісії обирається комісією відкритим голосуванням більшістю депутатів від загального складу комісії.</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2.</w:t>
        <w:tab/>
        <w:t xml:space="preserve">Заступник голови Постійної комісії виконує функції голови комісії за його дорученням у разі його відсутності або неможливості ним виконувати свої повноваженням з інших причин.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3.</w:t>
        <w:tab/>
        <w:t xml:space="preserve">Заступник голови Постійної комісії організовує взаємодію Постійної комісії з іншими комісіями Ради, виконує інші функції, визначені комісією та її головою.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18"/>
          <w:szCs w:val="18"/>
          <w:lang w:val="uk-UA"/>
        </w:rPr>
      </w:pPr>
      <w:r>
        <w:rPr>
          <w:rFonts w:ascii="Times New Roman" w:cs="Times New Roman" w:hAnsi="Times New Roman"/>
          <w:sz w:val="18"/>
          <w:szCs w:val="18"/>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b/>
          <w:bCs/>
          <w:sz w:val="28"/>
          <w:szCs w:val="28"/>
          <w:lang w:val="uk-UA"/>
        </w:rPr>
      </w:pPr>
      <w:r>
        <w:rPr>
          <w:rFonts w:ascii="Times New Roman" w:cs="Times New Roman" w:hAnsi="Times New Roman"/>
          <w:b/>
          <w:bCs/>
          <w:sz w:val="28"/>
          <w:szCs w:val="28"/>
          <w:lang w:val="uk-UA"/>
        </w:rPr>
        <w:t>Стаття 9. Секретар Постійної комісії</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1.</w:t>
        <w:tab/>
        <w:t>Секретар Постійної комісії обирається комісією відкритим голосуванням більшістю депутатів від загального складу комісії.</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2.</w:t>
        <w:tab/>
        <w:t xml:space="preserve">Секретар Постійної комісії може виконувати функції голови комісії за його дорученням у зв’язку з неможливістю виконання ним або його заступником цих функцій.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3.</w:t>
        <w:tab/>
        <w:t xml:space="preserve">Секретар Постійної комісії веде її документацію, у тому числі складає та підписує протоколи засідань комісії, готує проекти планів роботи комісії, організовує контроль реалізації висновків і рекомендацій (рішень) Постійної комісії, рішень Ради відповідно до напрямків діяльності комісії.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18"/>
          <w:szCs w:val="18"/>
          <w:lang w:val="uk-UA"/>
        </w:rPr>
      </w:pPr>
      <w:r>
        <w:rPr>
          <w:rFonts w:ascii="Times New Roman" w:cs="Times New Roman" w:hAnsi="Times New Roman"/>
          <w:sz w:val="18"/>
          <w:szCs w:val="18"/>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b/>
          <w:bCs/>
          <w:sz w:val="28"/>
          <w:szCs w:val="28"/>
          <w:lang w:val="uk-UA"/>
        </w:rPr>
      </w:pPr>
      <w:r>
        <w:rPr>
          <w:rFonts w:ascii="Times New Roman" w:cs="Times New Roman" w:hAnsi="Times New Roman"/>
          <w:b/>
          <w:bCs/>
          <w:sz w:val="28"/>
          <w:szCs w:val="28"/>
          <w:lang w:val="uk-UA"/>
        </w:rPr>
        <w:t xml:space="preserve">Стаття 10. Планування діяльності Постійних комісій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1. Комісії здійснюють свою роботу постійно, на плановій основі, відповідно до затверджених ними планів роботи, а також рішень і доручень Ради, міського голови, секретаря Ради. Плани роботи Постійних комісій Ради відповідають головним напрямкам діяльності Ради та її органів і визначають організаційні форми вирішення поставлених завдань та містять перелік основних заходів та їх виконавців.</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bookmarkStart w:id="1" w:name="BM194"/>
      <w:bookmarkEnd w:id="1"/>
      <w:r>
        <w:rPr>
          <w:rFonts w:ascii="Times New Roman" w:cs="Times New Roman" w:hAnsi="Times New Roman"/>
          <w:sz w:val="28"/>
          <w:szCs w:val="28"/>
          <w:lang w:val="uk-UA"/>
        </w:rPr>
        <w:t>2. Плани роботи Постійних комісій можуть змінюватися у разі включення до них позапланових питань за дорученням Ради, міського голови, секретаря Ради, за пропозицією членів Постійних комісій.</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16"/>
          <w:szCs w:val="16"/>
        </w:rPr>
      </w:pPr>
      <w:r>
        <w:rPr>
          <w:rFonts w:ascii="Times New Roman" w:cs="Times New Roman" w:hAnsi="Times New Roman"/>
          <w:sz w:val="16"/>
          <w:szCs w:val="16"/>
        </w:rPr>
      </w:r>
    </w:p>
    <w:p>
      <w:pPr>
        <w:pStyle w:val="style0"/>
        <w:widowControl w:val="false"/>
        <w:tabs>
          <w:tab w:leader="none" w:pos="851" w:val="left"/>
        </w:tabs>
        <w:spacing w:after="0" w:before="0" w:line="100" w:lineRule="atLeast"/>
        <w:ind w:hanging="0" w:left="0" w:right="-2"/>
        <w:contextualSpacing w:val="false"/>
        <w:jc w:val="center"/>
        <w:rPr>
          <w:rFonts w:ascii="Times New Roman" w:cs="Times New Roman" w:hAnsi="Times New Roman"/>
          <w:b/>
          <w:bCs/>
          <w:sz w:val="28"/>
          <w:szCs w:val="28"/>
          <w:lang w:val="uk-UA"/>
        </w:rPr>
      </w:pPr>
      <w:r>
        <w:rPr>
          <w:rFonts w:ascii="Times New Roman" w:cs="Times New Roman" w:hAnsi="Times New Roman"/>
          <w:b/>
          <w:bCs/>
          <w:sz w:val="28"/>
          <w:szCs w:val="28"/>
          <w:lang w:val="uk-UA"/>
        </w:rPr>
        <w:t xml:space="preserve">Розділ III. ФОРМИ РОБОТИ ПОСТІЙНИХ КОМІСІЙ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16"/>
          <w:szCs w:val="16"/>
          <w:lang w:val="uk-UA"/>
        </w:rPr>
      </w:pPr>
      <w:r>
        <w:rPr>
          <w:rFonts w:ascii="Times New Roman" w:cs="Times New Roman" w:hAnsi="Times New Roman"/>
          <w:sz w:val="16"/>
          <w:szCs w:val="16"/>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b/>
          <w:bCs/>
          <w:sz w:val="28"/>
          <w:szCs w:val="28"/>
          <w:lang w:val="uk-UA"/>
        </w:rPr>
      </w:pPr>
      <w:r>
        <w:rPr>
          <w:rFonts w:ascii="Times New Roman" w:cs="Times New Roman" w:hAnsi="Times New Roman"/>
          <w:b/>
          <w:bCs/>
          <w:sz w:val="28"/>
          <w:szCs w:val="28"/>
          <w:lang w:val="uk-UA"/>
        </w:rPr>
        <w:t xml:space="preserve">Стаття 11. Засідання Постійної комісії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1.</w:t>
        <w:tab/>
        <w:t xml:space="preserve">Основною організаційною формою роботи Постійної комісії є її засідання.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2.</w:t>
        <w:tab/>
        <w:t xml:space="preserve">Засідання Постійної комісії скликаються її головою в міру необхідності, але не рідше одного разу на місяць. За три дні до планової дати засідання голова постійної комісії оголошує дату, час, місце та порядок денний засідання.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3.</w:t>
        <w:tab/>
        <w:t xml:space="preserve">Засідання Постійних комісій є правомочними, якщо в них бере участь не менше, як половина депутатів від загального складу комісії.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4.</w:t>
        <w:tab/>
        <w:t>У випадку неможливості взяти участь у засіданні член комісії повідомляє про це голову комісії.</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5.</w:t>
        <w:tab/>
        <w:t>Пропуск депутатом Ради протягом року більше половини засідань Постійної комісії без поважних причин, невиконання ним рішень і доручень Ради та її органів є підставою для виключення депутата Ради зі складу комісії за її пропозицією, або пропозицією депутатської фракції та прийнятим відповідним рішенням Радою.</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16"/>
          <w:szCs w:val="16"/>
          <w:lang w:val="uk-UA"/>
        </w:rPr>
      </w:pPr>
      <w:r>
        <w:rPr>
          <w:rFonts w:ascii="Times New Roman" w:cs="Times New Roman" w:hAnsi="Times New Roman"/>
          <w:sz w:val="16"/>
          <w:szCs w:val="16"/>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b/>
          <w:bCs/>
          <w:sz w:val="28"/>
          <w:szCs w:val="28"/>
          <w:lang w:val="uk-UA"/>
        </w:rPr>
      </w:pPr>
      <w:r>
        <w:rPr>
          <w:rFonts w:ascii="Times New Roman" w:cs="Times New Roman" w:hAnsi="Times New Roman"/>
          <w:b/>
          <w:bCs/>
          <w:sz w:val="28"/>
          <w:szCs w:val="28"/>
          <w:lang w:val="uk-UA"/>
        </w:rPr>
        <w:t>Стаття 12. Спільні засідання Постійних комісій</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1.</w:t>
        <w:tab/>
        <w:t xml:space="preserve">Постійні комісії можуть проводити спільні засідання з іншими Постійними комісіями Ради за своєю ініціативою, за дорученням міського голови, секретаря Ради або за рішенням Ради.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2.</w:t>
        <w:tab/>
        <w:t xml:space="preserve">Спільні засідання Постійних комісій проводяться, як правило, з питань, що відносяться до компетенції декількох комісій.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3.</w:t>
        <w:tab/>
        <w:t xml:space="preserve">Спільні засідання Постійних комісій скликаються головами відповідних комісій і є правомочними, якщо в них бере участь не менше половини від загального складу кожної комісії.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4.</w:t>
        <w:tab/>
        <w:t xml:space="preserve">Спільні засідання Постійних комісій веде один з їх голів у встановленому на кожному засіданні порядку.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16"/>
          <w:szCs w:val="16"/>
          <w:lang w:val="uk-UA"/>
        </w:rPr>
      </w:pPr>
      <w:r>
        <w:rPr>
          <w:rFonts w:ascii="Times New Roman" w:cs="Times New Roman" w:hAnsi="Times New Roman"/>
          <w:sz w:val="16"/>
          <w:szCs w:val="16"/>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b/>
          <w:bCs/>
          <w:sz w:val="28"/>
          <w:szCs w:val="28"/>
          <w:lang w:val="uk-UA"/>
        </w:rPr>
      </w:pPr>
      <w:r>
        <w:rPr>
          <w:rFonts w:ascii="Times New Roman" w:cs="Times New Roman" w:hAnsi="Times New Roman"/>
          <w:b/>
          <w:bCs/>
          <w:sz w:val="28"/>
          <w:szCs w:val="28"/>
          <w:lang w:val="uk-UA"/>
        </w:rPr>
        <w:t>Стаття 13. Виїзні засідання Постійних комісій</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1.</w:t>
        <w:tab/>
        <w:t xml:space="preserve">Постійні комісії можуть проводити виїзні засідання безпосередньо на об'єктах, діяльність яких є предметом розгляду комісії.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16"/>
          <w:szCs w:val="16"/>
          <w:lang w:val="uk-UA"/>
        </w:rPr>
      </w:pPr>
      <w:r>
        <w:rPr>
          <w:rFonts w:ascii="Times New Roman" w:cs="Times New Roman" w:hAnsi="Times New Roman"/>
          <w:sz w:val="16"/>
          <w:szCs w:val="16"/>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b/>
          <w:bCs/>
          <w:sz w:val="28"/>
          <w:szCs w:val="28"/>
          <w:lang w:val="uk-UA"/>
        </w:rPr>
      </w:pPr>
      <w:r>
        <w:rPr>
          <w:rFonts w:ascii="Times New Roman" w:cs="Times New Roman" w:hAnsi="Times New Roman"/>
          <w:b/>
          <w:bCs/>
          <w:sz w:val="28"/>
          <w:szCs w:val="28"/>
          <w:lang w:val="uk-UA"/>
        </w:rPr>
        <w:t>Стаття 14. Гласність та відкритість роботи Постійних комісій</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1.</w:t>
        <w:tab/>
        <w:t>Засідання постійних комісій проводяться відкрито. Висновки і рекомендації Постійної комісії, протоколи її засідань є відкритими та оприлюднюються і надаються на запит відповідно до Закону України "Про доступ до публічної інформації".</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Відкритість засідань Постійних комісій забезпечується можливістю присутності представників засобів масової інформації.</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2.</w:t>
        <w:tab/>
        <w:t xml:space="preserve">Постійні комісії Ради можуть проводити свої засідання із запрошенням уповноважених депутатів (представників) зі складу інших Постійних комісій. При цьому представники мають право дорадчого голосу, а також право оголошення офіційної думки комісії, що уповноважила на це представника.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3.</w:t>
        <w:tab/>
        <w:t xml:space="preserve">У засіданнях Постійних комісій Ради можуть брати участь з правом дорадчого голосу: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1)</w:t>
        <w:tab/>
        <w:t xml:space="preserve">народні депутати України, депутати обласної ради;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2)</w:t>
        <w:tab/>
        <w:t>представники органів державної виконавчої влади і місцевого самоврядування;</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3)</w:t>
        <w:tab/>
        <w:t xml:space="preserve">представники партій, профспілкових організацій, об'єднань громадян, органів самоорганізації населення, територіальної громади міста;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4)</w:t>
        <w:tab/>
        <w:t>керівники, фахівці підприємств, установ і організацій міста;</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5) помічники-консультанти депутатів міської ради.</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4.</w:t>
        <w:tab/>
        <w:t>Питання про присутність і запрошення на засідання Постійних комісій інших осіб, за винятком представників засобів масової інформації та помічників-консультантів депутатів міської ради, вирішується у кожному окремому випадку Постійною комісією. Представники засобів масової інформації та помічники-консультанти депутатів Ради мають право безперешкодно бути присутніми на засіданнях Постійних комісій Ради.</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r>
    </w:p>
    <w:p>
      <w:pPr>
        <w:pStyle w:val="style0"/>
        <w:widowControl w:val="false"/>
        <w:tabs>
          <w:tab w:leader="none" w:pos="851" w:val="left"/>
        </w:tabs>
        <w:spacing w:after="0" w:before="0" w:line="100" w:lineRule="atLeast"/>
        <w:ind w:firstLine="510" w:left="57" w:right="-2"/>
        <w:contextualSpacing w:val="false"/>
        <w:jc w:val="center"/>
        <w:rPr>
          <w:rFonts w:ascii="Times New Roman" w:cs="Times New Roman" w:hAnsi="Times New Roman"/>
          <w:b/>
          <w:bCs/>
          <w:sz w:val="28"/>
          <w:szCs w:val="28"/>
          <w:lang w:val="uk-UA"/>
        </w:rPr>
      </w:pPr>
      <w:r>
        <w:rPr>
          <w:rFonts w:ascii="Times New Roman" w:cs="Times New Roman" w:hAnsi="Times New Roman"/>
          <w:b/>
          <w:bCs/>
          <w:sz w:val="28"/>
          <w:szCs w:val="28"/>
          <w:lang w:val="uk-UA"/>
        </w:rPr>
        <w:t>Розділ IV. ПІДГОТОВКА І ВНЕСЕННЯ ПИТАНЬ</w:t>
      </w:r>
    </w:p>
    <w:p>
      <w:pPr>
        <w:pStyle w:val="style0"/>
        <w:widowControl w:val="false"/>
        <w:tabs>
          <w:tab w:leader="none" w:pos="851" w:val="left"/>
        </w:tabs>
        <w:spacing w:after="0" w:before="0" w:line="100" w:lineRule="atLeast"/>
        <w:ind w:hanging="0" w:left="0" w:right="-2"/>
        <w:contextualSpacing w:val="false"/>
        <w:jc w:val="center"/>
        <w:rPr>
          <w:rFonts w:ascii="Times New Roman" w:cs="Times New Roman" w:hAnsi="Times New Roman"/>
          <w:b/>
          <w:bCs/>
          <w:sz w:val="28"/>
          <w:szCs w:val="28"/>
          <w:lang w:val="uk-UA"/>
        </w:rPr>
      </w:pPr>
      <w:r>
        <w:rPr>
          <w:rFonts w:ascii="Times New Roman" w:cs="Times New Roman" w:hAnsi="Times New Roman"/>
          <w:b/>
          <w:bCs/>
          <w:sz w:val="28"/>
          <w:szCs w:val="28"/>
          <w:lang w:val="uk-UA"/>
        </w:rPr>
        <w:t xml:space="preserve">НА РОЗГЛЯД ПОСТІЙНИХ КОМІСІЙ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18"/>
          <w:szCs w:val="18"/>
          <w:lang w:val="uk-UA"/>
        </w:rPr>
      </w:pPr>
      <w:r>
        <w:rPr>
          <w:rFonts w:ascii="Times New Roman" w:cs="Times New Roman" w:hAnsi="Times New Roman"/>
          <w:sz w:val="18"/>
          <w:szCs w:val="18"/>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b/>
          <w:bCs/>
          <w:sz w:val="28"/>
          <w:szCs w:val="28"/>
          <w:lang w:val="uk-UA"/>
        </w:rPr>
      </w:pPr>
      <w:r>
        <w:rPr>
          <w:rFonts w:ascii="Times New Roman" w:cs="Times New Roman" w:hAnsi="Times New Roman"/>
          <w:b/>
          <w:bCs/>
          <w:sz w:val="28"/>
          <w:szCs w:val="28"/>
          <w:lang w:val="uk-UA"/>
        </w:rPr>
        <w:t>Стаття 15. Питання для розгляду на Постійних комісіях</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1.</w:t>
        <w:tab/>
        <w:t>Пропозиції з питань для розгляду Постійною комісією Ради можуть вноситися депутатами зі складу комісії, міським головою, Радою та її виконавчим комітетом, секретарем Ради, депутатськими групами та фракціями.</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2.</w:t>
        <w:tab/>
        <w:t xml:space="preserve">Перелік основних питань, що вносяться на розгляд Постійних комісій, формується, як правило, на основі плану роботи Ради.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18"/>
          <w:szCs w:val="18"/>
          <w:lang w:val="uk-UA"/>
        </w:rPr>
      </w:pPr>
      <w:r>
        <w:rPr>
          <w:rFonts w:ascii="Times New Roman" w:cs="Times New Roman" w:hAnsi="Times New Roman"/>
          <w:sz w:val="18"/>
          <w:szCs w:val="18"/>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b/>
          <w:bCs/>
          <w:sz w:val="28"/>
          <w:szCs w:val="28"/>
          <w:lang w:val="uk-UA"/>
        </w:rPr>
      </w:pPr>
      <w:r>
        <w:rPr>
          <w:rFonts w:ascii="Times New Roman" w:cs="Times New Roman" w:hAnsi="Times New Roman"/>
          <w:b/>
          <w:bCs/>
          <w:sz w:val="28"/>
          <w:szCs w:val="28"/>
          <w:lang w:val="uk-UA"/>
        </w:rPr>
        <w:t>Стаття 16. Підготовчі комісії та робочі групи</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1.</w:t>
        <w:tab/>
        <w:t xml:space="preserve">Постійні комісії Ради для підготовки та вивчення питань, що розглядаються комісією або Радою, а також для розробки проектів рішень Ради можуть утворювати робочі групи з числа депутатів свого складу та залученням депутатів зі складу інших Постійних комісій (за погодженням з ними), представників громадськості, вчених і спеціалістів.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18"/>
          <w:szCs w:val="18"/>
          <w:lang w:val="uk-UA"/>
        </w:rPr>
      </w:pPr>
      <w:r>
        <w:rPr>
          <w:rFonts w:ascii="Times New Roman" w:cs="Times New Roman" w:hAnsi="Times New Roman"/>
          <w:sz w:val="18"/>
          <w:szCs w:val="18"/>
          <w:lang w:val="uk-UA"/>
        </w:rPr>
      </w:r>
    </w:p>
    <w:p>
      <w:pPr>
        <w:pStyle w:val="style0"/>
        <w:widowControl w:val="false"/>
        <w:tabs>
          <w:tab w:leader="none" w:pos="851" w:val="left"/>
        </w:tabs>
        <w:spacing w:after="0" w:before="0" w:line="100" w:lineRule="atLeast"/>
        <w:ind w:hanging="0" w:left="0" w:right="-2"/>
        <w:contextualSpacing w:val="false"/>
        <w:jc w:val="center"/>
        <w:rPr>
          <w:rFonts w:ascii="Times New Roman" w:cs="Times New Roman" w:hAnsi="Times New Roman"/>
          <w:b/>
          <w:bCs/>
          <w:sz w:val="28"/>
          <w:szCs w:val="28"/>
          <w:lang w:val="uk-UA"/>
        </w:rPr>
      </w:pPr>
      <w:r>
        <w:rPr>
          <w:rFonts w:ascii="Times New Roman" w:cs="Times New Roman" w:hAnsi="Times New Roman"/>
          <w:b/>
          <w:bCs/>
          <w:sz w:val="28"/>
          <w:szCs w:val="28"/>
          <w:lang w:val="uk-UA"/>
        </w:rPr>
        <w:t>Розділ V. РОЗГЛЯД ПИТАНЬ НА ЗАСІДАННЯХ</w:t>
      </w:r>
    </w:p>
    <w:p>
      <w:pPr>
        <w:pStyle w:val="style0"/>
        <w:widowControl w:val="false"/>
        <w:tabs>
          <w:tab w:leader="none" w:pos="851" w:val="left"/>
        </w:tabs>
        <w:spacing w:after="0" w:before="0" w:line="100" w:lineRule="atLeast"/>
        <w:ind w:hanging="0" w:left="0" w:right="-2"/>
        <w:contextualSpacing w:val="false"/>
        <w:jc w:val="center"/>
        <w:rPr>
          <w:rFonts w:ascii="Times New Roman" w:cs="Times New Roman" w:hAnsi="Times New Roman"/>
          <w:b/>
          <w:bCs/>
          <w:sz w:val="28"/>
          <w:szCs w:val="28"/>
          <w:lang w:val="uk-UA"/>
        </w:rPr>
      </w:pPr>
      <w:r>
        <w:rPr>
          <w:rFonts w:ascii="Times New Roman" w:cs="Times New Roman" w:hAnsi="Times New Roman"/>
          <w:b/>
          <w:bCs/>
          <w:sz w:val="28"/>
          <w:szCs w:val="28"/>
          <w:lang w:val="uk-UA"/>
        </w:rPr>
        <w:t xml:space="preserve">ПОСТІЙНИХ КОМІСІЙ </w:t>
      </w:r>
    </w:p>
    <w:p>
      <w:pPr>
        <w:pStyle w:val="style0"/>
        <w:widowControl w:val="false"/>
        <w:tabs>
          <w:tab w:leader="none" w:pos="851" w:val="left"/>
        </w:tabs>
        <w:spacing w:after="0" w:before="0" w:line="100" w:lineRule="atLeast"/>
        <w:ind w:hanging="0" w:left="0" w:right="-2"/>
        <w:contextualSpacing w:val="false"/>
        <w:jc w:val="center"/>
        <w:rPr>
          <w:rFonts w:ascii="Times New Roman" w:cs="Times New Roman" w:hAnsi="Times New Roman"/>
          <w:sz w:val="18"/>
          <w:szCs w:val="18"/>
          <w:lang w:val="uk-UA"/>
        </w:rPr>
      </w:pPr>
      <w:r>
        <w:rPr>
          <w:rFonts w:ascii="Times New Roman" w:cs="Times New Roman" w:hAnsi="Times New Roman"/>
          <w:sz w:val="18"/>
          <w:szCs w:val="18"/>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b/>
          <w:bCs/>
          <w:sz w:val="28"/>
          <w:szCs w:val="28"/>
          <w:lang w:val="uk-UA"/>
        </w:rPr>
      </w:pPr>
      <w:r>
        <w:rPr>
          <w:rFonts w:ascii="Times New Roman" w:cs="Times New Roman" w:hAnsi="Times New Roman"/>
          <w:b/>
          <w:bCs/>
          <w:sz w:val="28"/>
          <w:szCs w:val="28"/>
          <w:lang w:val="uk-UA"/>
        </w:rPr>
        <w:t>Стаття 17. Питання, що розглядаються Постійними комісіями</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1.</w:t>
        <w:tab/>
        <w:t xml:space="preserve">На засіданнях Постійних комісій розглядаються: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1)</w:t>
        <w:tab/>
        <w:t>питання, які готуються Постійною комісією для розгляду Радою;</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2)</w:t>
        <w:tab/>
        <w:t xml:space="preserve">питання, які внесені на розгляд Ради іншими суб'єктами;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3)</w:t>
        <w:tab/>
        <w:t>питання, які безпосередньо розглядаються Постійною комісією відповідно до планів її роботи, за дорученнями Ради, міського голови, секретаря Ради.</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18"/>
          <w:szCs w:val="18"/>
          <w:lang w:val="uk-UA"/>
        </w:rPr>
      </w:pPr>
      <w:r>
        <w:rPr>
          <w:rFonts w:ascii="Times New Roman" w:cs="Times New Roman" w:hAnsi="Times New Roman"/>
          <w:sz w:val="18"/>
          <w:szCs w:val="18"/>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b/>
          <w:bCs/>
          <w:sz w:val="28"/>
          <w:szCs w:val="28"/>
          <w:lang w:val="uk-UA"/>
        </w:rPr>
      </w:pPr>
      <w:r>
        <w:rPr>
          <w:rFonts w:ascii="Times New Roman" w:cs="Times New Roman" w:hAnsi="Times New Roman"/>
          <w:b/>
          <w:bCs/>
          <w:sz w:val="28"/>
          <w:szCs w:val="28"/>
          <w:lang w:val="uk-UA"/>
        </w:rPr>
        <w:t>Стаття 18. Порядок розгляду питань Постійними комісіями</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1.</w:t>
        <w:tab/>
        <w:t xml:space="preserve">Питання і проекти рішень з цих питань готуються для розгляду Радою  і розглядаються Постійними комісіями в порядку, установленому Регламентом, та з дотриманням відповідних вимог.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2.</w:t>
        <w:tab/>
        <w:t>З питань, винесених на розгляд Ради, Постійні комісії в особі їх голів або уповноважених комісіями депутатів можуть виступати з доповідями й співдоповідями на пленарних засіданнях сесій Ради.</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b/>
          <w:bCs/>
          <w:sz w:val="18"/>
          <w:szCs w:val="18"/>
          <w:lang w:val="uk-UA"/>
        </w:rPr>
      </w:pPr>
      <w:r>
        <w:rPr>
          <w:rFonts w:ascii="Times New Roman" w:cs="Times New Roman" w:hAnsi="Times New Roman"/>
          <w:b/>
          <w:bCs/>
          <w:sz w:val="18"/>
          <w:szCs w:val="18"/>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b/>
          <w:bCs/>
          <w:sz w:val="28"/>
          <w:szCs w:val="28"/>
          <w:lang w:val="uk-UA"/>
        </w:rPr>
      </w:pPr>
      <w:r>
        <w:rPr>
          <w:rFonts w:ascii="Times New Roman" w:cs="Times New Roman" w:hAnsi="Times New Roman"/>
          <w:b/>
          <w:bCs/>
          <w:sz w:val="28"/>
          <w:szCs w:val="28"/>
          <w:lang w:val="uk-UA"/>
        </w:rPr>
        <w:t xml:space="preserve">Стаття 19. Питання, що попередньо розглядаються Постійними комісіями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1.</w:t>
        <w:tab/>
        <w:t>Постійні комісії Ради попередньо розглядають:</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1) кандидатури осіб, які пропонуються для обрання, затвердження, призначення або погодження Радою, готують висновки з цих питань;</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2) проекти програм соціально-економічного і культурного розвитку міста, міського бюджету і зміни до них, звіти про виконання програм і бюджету, що попередньо розглядаються комісіями за дорученням Ради або за власною ініціативою;</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xml:space="preserve">3) проекти рішень Ради з інших питань, підготовлені для розгляду Радою: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а)</w:t>
        <w:tab/>
        <w:t xml:space="preserve">комісіями (робочими групами), створеними у встановленому Регламентом та цим Положенням порядку для підготовки питань для розгляду Радою; </w:t>
      </w:r>
    </w:p>
    <w:p>
      <w:pPr>
        <w:pStyle w:val="style0"/>
        <w:widowControl w:val="false"/>
        <w:tabs>
          <w:tab w:leader="none" w:pos="851" w:val="left"/>
        </w:tabs>
        <w:spacing w:after="0" w:before="0" w:line="100" w:lineRule="atLeast"/>
        <w:ind w:firstLine="567" w:left="0"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б)</w:t>
        <w:tab/>
        <w:t xml:space="preserve">депутатами Ради; </w:t>
      </w:r>
    </w:p>
    <w:p>
      <w:pPr>
        <w:pStyle w:val="style0"/>
        <w:widowControl w:val="false"/>
        <w:tabs>
          <w:tab w:leader="none" w:pos="851" w:val="left"/>
        </w:tabs>
        <w:spacing w:after="0" w:before="0" w:line="100" w:lineRule="atLeast"/>
        <w:ind w:firstLine="567" w:left="0"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в)</w:t>
        <w:tab/>
        <w:t xml:space="preserve">Постійними комісіями; </w:t>
      </w:r>
    </w:p>
    <w:p>
      <w:pPr>
        <w:pStyle w:val="style0"/>
        <w:widowControl w:val="false"/>
        <w:tabs>
          <w:tab w:leader="none" w:pos="851" w:val="left"/>
        </w:tabs>
        <w:spacing w:after="0" w:before="0" w:line="100" w:lineRule="atLeast"/>
        <w:ind w:firstLine="567" w:left="0"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г)</w:t>
        <w:tab/>
        <w:t xml:space="preserve">виконавчим комітетом Ради; </w:t>
      </w:r>
    </w:p>
    <w:p>
      <w:pPr>
        <w:pStyle w:val="style0"/>
        <w:widowControl w:val="false"/>
        <w:tabs>
          <w:tab w:leader="none" w:pos="851" w:val="left"/>
        </w:tabs>
        <w:spacing w:after="0" w:before="0" w:line="100" w:lineRule="atLeast"/>
        <w:ind w:firstLine="567" w:left="0"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д)</w:t>
        <w:tab/>
        <w:t xml:space="preserve">депутатськими групами і фракціями; </w:t>
      </w:r>
    </w:p>
    <w:p>
      <w:pPr>
        <w:pStyle w:val="style0"/>
        <w:widowControl w:val="false"/>
        <w:tabs>
          <w:tab w:leader="none" w:pos="851" w:val="left"/>
        </w:tabs>
        <w:spacing w:after="0" w:before="0" w:line="100" w:lineRule="atLeast"/>
        <w:ind w:firstLine="567" w:left="0"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ж) загальними зборами громадян за місцем проживання;</w:t>
      </w:r>
    </w:p>
    <w:p>
      <w:pPr>
        <w:pStyle w:val="style0"/>
        <w:widowControl w:val="false"/>
        <w:tabs>
          <w:tab w:leader="none" w:pos="9356" w:val="right"/>
        </w:tabs>
        <w:spacing w:after="0" w:before="0" w:line="100" w:lineRule="atLeast"/>
        <w:ind w:firstLine="567" w:left="0"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з) громадською групою в порядку місцевої ініціативи.</w:t>
        <w:tab/>
      </w:r>
    </w:p>
    <w:p>
      <w:pPr>
        <w:pStyle w:val="style0"/>
        <w:widowControl w:val="false"/>
        <w:tabs>
          <w:tab w:leader="none" w:pos="851" w:val="left"/>
        </w:tabs>
        <w:spacing w:after="0" w:before="0" w:line="100" w:lineRule="atLeast"/>
        <w:ind w:firstLine="510" w:left="0"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2.</w:t>
        <w:tab/>
        <w:t>Постійні комісії за дорученням Ради, міського голови, секретаря Ради або за власною ініціативою вивчають діяльність підзвітних і підконтрольних Раді та її виконавчому комітету, а також з питань, віднесених до компетенції Ради, підприємств, установ та організацій, їх філіалів і відділень незалежно від форм власності та їх посадових осіб, подають за результатами перевірки рекомендації на розгляд їх керівників, а в необхідних випадках - на розгляд Ради або її виконавчого комітету, здійснюють контроль за виконанням рішень Ради, її виконавчого комітету.</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3.</w:t>
        <w:tab/>
        <w:t>За наслідками розгляду питання Постійні комісії направляють свої висновки та рекомендації відповідним суб’єктам, а в необхідних випадках – на розгляд Ради.</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4.</w:t>
      </w:r>
      <w:r>
        <w:rPr>
          <w:color w:val="000000"/>
          <w:shd w:fill="FFFFFF" w:val="clear"/>
          <w:lang w:val="uk-UA"/>
        </w:rPr>
        <w:t xml:space="preserve"> </w:t>
      </w:r>
      <w:r>
        <w:rPr>
          <w:rFonts w:ascii="Times New Roman" w:cs="Times New Roman" w:hAnsi="Times New Roman"/>
          <w:sz w:val="28"/>
          <w:szCs w:val="28"/>
          <w:lang w:val="uk-UA"/>
        </w:rPr>
        <w:t>Постійні комісії у розгляданні питань, які належать до їх компетенції, та в порядку, визначеному законом, мають право отримувати від керівників органів, підприємств, установ, організацій та їх філіалів і відділень необхідні матеріали і документи.</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18"/>
          <w:szCs w:val="18"/>
          <w:lang w:val="uk-UA"/>
        </w:rPr>
      </w:pPr>
      <w:r>
        <w:rPr>
          <w:rFonts w:ascii="Times New Roman" w:cs="Times New Roman" w:hAnsi="Times New Roman"/>
          <w:sz w:val="18"/>
          <w:szCs w:val="18"/>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b/>
          <w:bCs/>
          <w:sz w:val="28"/>
          <w:szCs w:val="28"/>
          <w:lang w:val="uk-UA"/>
        </w:rPr>
      </w:pPr>
      <w:r>
        <w:rPr>
          <w:rFonts w:ascii="Times New Roman" w:cs="Times New Roman" w:hAnsi="Times New Roman"/>
          <w:b/>
          <w:bCs/>
          <w:sz w:val="28"/>
          <w:szCs w:val="28"/>
          <w:lang w:val="uk-UA"/>
        </w:rPr>
        <w:t>Стаття 20. Контроль за виконанням рішень</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1.</w:t>
        <w:tab/>
        <w:t xml:space="preserve">Постійні комісії Ради на своїх засіданнях розглядають з метою контролю інформацію про хід виконання раніше ухвалених комісією рішень, рішень Ради.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2.</w:t>
        <w:tab/>
        <w:t xml:space="preserve">Постійні комісії організовують контроль виконання рішень Ради та її виконавчого комітету.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18"/>
          <w:szCs w:val="18"/>
          <w:lang w:val="uk-UA"/>
        </w:rPr>
      </w:pPr>
      <w:r>
        <w:rPr>
          <w:rFonts w:ascii="Times New Roman" w:cs="Times New Roman" w:hAnsi="Times New Roman"/>
          <w:sz w:val="18"/>
          <w:szCs w:val="18"/>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b/>
          <w:bCs/>
          <w:sz w:val="28"/>
          <w:szCs w:val="28"/>
          <w:lang w:val="uk-UA"/>
        </w:rPr>
      </w:pPr>
      <w:r>
        <w:rPr>
          <w:rFonts w:ascii="Times New Roman" w:cs="Times New Roman" w:hAnsi="Times New Roman"/>
          <w:b/>
          <w:bCs/>
          <w:sz w:val="28"/>
          <w:szCs w:val="28"/>
          <w:lang w:val="uk-UA"/>
        </w:rPr>
        <w:t>Стаття 21. Звіт про діяльність Постійних комісій</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1.</w:t>
        <w:tab/>
        <w:t>Постійні комісії (їх голови) звітують щорічно про свою діяльність на пленарному засіданні сесії Ради.</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b/>
          <w:bCs/>
          <w:sz w:val="18"/>
          <w:szCs w:val="18"/>
          <w:lang w:val="uk-UA"/>
        </w:rPr>
      </w:pPr>
      <w:r>
        <w:rPr>
          <w:rFonts w:ascii="Times New Roman" w:cs="Times New Roman" w:hAnsi="Times New Roman"/>
          <w:b/>
          <w:bCs/>
          <w:sz w:val="18"/>
          <w:szCs w:val="18"/>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b/>
          <w:bCs/>
          <w:sz w:val="28"/>
          <w:szCs w:val="28"/>
          <w:lang w:val="uk-UA"/>
        </w:rPr>
      </w:pPr>
      <w:r>
        <w:rPr>
          <w:rFonts w:ascii="Times New Roman" w:cs="Times New Roman" w:hAnsi="Times New Roman"/>
          <w:b/>
          <w:bCs/>
          <w:sz w:val="28"/>
          <w:szCs w:val="28"/>
          <w:lang w:val="uk-UA"/>
        </w:rPr>
        <w:t>Стаття 22. Рішення Постійних комісій</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1.</w:t>
        <w:tab/>
        <w:t>На засіданнях Постійних комісій за наслідками розгляду питань, визначених цим Положенням, комісії ухвалюють з кожного питання рішення, що містять висновки і рекомендації, які мають бути доведені до відома депутатів при розгляді відповідного питання на пленарному засіданні Ради.</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2.</w:t>
        <w:tab/>
        <w:t xml:space="preserve">Рішення Постійних комісій ухвалюються більшістю голосів від загального складу комісії і підписуються головою комісії, а у разі його відсутності – заступником голови або секретарем комісії.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3.</w:t>
        <w:tab/>
        <w:t xml:space="preserve">Рішення Постійних комісій на спільних засіданнях декількох комісій Ради приймаються більшістю голосів від загального складу кожної комісії, підписуються їх головами, а у разі їх відсутності заступниками голів або секретарями Постійних комісій.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4.</w:t>
        <w:tab/>
        <w:t>Рекомендації Постійних комісій підлягають обов'язковому розгляду органами, підприємствами, установами, організаціями, посадовими особами, яким вони адресовані. Результати розгляду і вжиті заходи повинні бути повідомлені Постійним комісіям у встановлений ними строк.</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5.</w:t>
        <w:tab/>
        <w:t xml:space="preserve">За наслідками кожного засідання Постійної комісії складається протокол, який підписується головою і секретарем Постійної комісії.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18"/>
          <w:szCs w:val="18"/>
          <w:lang w:val="uk-UA"/>
        </w:rPr>
      </w:pPr>
      <w:r>
        <w:rPr>
          <w:rFonts w:ascii="Times New Roman" w:cs="Times New Roman" w:hAnsi="Times New Roman"/>
          <w:sz w:val="18"/>
          <w:szCs w:val="18"/>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18"/>
          <w:szCs w:val="18"/>
          <w:lang w:val="uk-UA"/>
        </w:rPr>
      </w:pPr>
      <w:r>
        <w:rPr>
          <w:rFonts w:ascii="Times New Roman" w:cs="Times New Roman" w:hAnsi="Times New Roman"/>
          <w:sz w:val="18"/>
          <w:szCs w:val="18"/>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18"/>
          <w:szCs w:val="18"/>
          <w:lang w:val="uk-UA"/>
        </w:rPr>
      </w:pPr>
      <w:r>
        <w:rPr>
          <w:rFonts w:ascii="Times New Roman" w:cs="Times New Roman" w:hAnsi="Times New Roman"/>
          <w:sz w:val="18"/>
          <w:szCs w:val="18"/>
          <w:lang w:val="uk-UA"/>
        </w:rPr>
      </w:r>
    </w:p>
    <w:p>
      <w:pPr>
        <w:pStyle w:val="style0"/>
        <w:widowControl w:val="false"/>
        <w:tabs>
          <w:tab w:leader="none" w:pos="851" w:val="left"/>
        </w:tabs>
        <w:spacing w:after="0" w:before="0" w:line="100" w:lineRule="atLeast"/>
        <w:ind w:hanging="0" w:left="0" w:right="-2"/>
        <w:contextualSpacing w:val="false"/>
        <w:jc w:val="center"/>
        <w:rPr>
          <w:rFonts w:ascii="Times New Roman" w:cs="Times New Roman" w:hAnsi="Times New Roman"/>
          <w:b/>
          <w:bCs/>
          <w:sz w:val="28"/>
          <w:szCs w:val="28"/>
          <w:lang w:val="uk-UA"/>
        </w:rPr>
      </w:pPr>
      <w:r>
        <w:rPr>
          <w:rFonts w:ascii="Times New Roman" w:cs="Times New Roman" w:hAnsi="Times New Roman"/>
          <w:b/>
          <w:bCs/>
          <w:sz w:val="28"/>
          <w:szCs w:val="28"/>
          <w:lang w:val="uk-UA"/>
        </w:rPr>
        <w:t xml:space="preserve">Розділ VI. ПОВНОВАЖЕННЯ </w:t>
      </w:r>
    </w:p>
    <w:p>
      <w:pPr>
        <w:pStyle w:val="style0"/>
        <w:widowControl w:val="false"/>
        <w:tabs>
          <w:tab w:leader="none" w:pos="851" w:val="left"/>
        </w:tabs>
        <w:spacing w:after="0" w:before="0" w:line="100" w:lineRule="atLeast"/>
        <w:ind w:hanging="0" w:left="0" w:right="-2"/>
        <w:contextualSpacing w:val="false"/>
        <w:jc w:val="center"/>
        <w:rPr>
          <w:rFonts w:ascii="Times New Roman" w:cs="Times New Roman" w:hAnsi="Times New Roman"/>
          <w:b/>
          <w:bCs/>
          <w:sz w:val="28"/>
          <w:szCs w:val="28"/>
          <w:lang w:val="uk-UA"/>
        </w:rPr>
      </w:pPr>
      <w:r>
        <w:rPr>
          <w:rFonts w:ascii="Times New Roman" w:cs="Times New Roman" w:hAnsi="Times New Roman"/>
          <w:b/>
          <w:bCs/>
          <w:sz w:val="28"/>
          <w:szCs w:val="28"/>
          <w:lang w:val="uk-UA"/>
        </w:rPr>
        <w:t xml:space="preserve">ПОСТІЙНИХ КОМІСІЙ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18"/>
          <w:szCs w:val="18"/>
          <w:lang w:val="uk-UA"/>
        </w:rPr>
      </w:pPr>
      <w:r>
        <w:rPr>
          <w:rFonts w:ascii="Times New Roman" w:cs="Times New Roman" w:hAnsi="Times New Roman"/>
          <w:sz w:val="18"/>
          <w:szCs w:val="18"/>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b/>
          <w:sz w:val="28"/>
          <w:szCs w:val="28"/>
          <w:lang w:val="uk-UA"/>
        </w:rPr>
      </w:pPr>
      <w:r>
        <w:rPr>
          <w:rFonts w:ascii="Times New Roman" w:cs="Times New Roman" w:hAnsi="Times New Roman"/>
          <w:b/>
          <w:sz w:val="28"/>
          <w:szCs w:val="28"/>
          <w:lang w:val="uk-UA"/>
        </w:rPr>
        <w:t xml:space="preserve">  </w:t>
      </w:r>
      <w:r>
        <w:rPr>
          <w:rFonts w:ascii="Times New Roman" w:cs="Times New Roman" w:hAnsi="Times New Roman"/>
          <w:b/>
          <w:sz w:val="28"/>
          <w:szCs w:val="28"/>
          <w:lang w:val="uk-UA"/>
        </w:rPr>
        <w:t>Стаття 23. Постійна депутатська комісія з питань бюджету, фінансів та планування соціально-економічного розвитку міста</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b/>
          <w:sz w:val="28"/>
          <w:szCs w:val="28"/>
          <w:lang w:val="uk-UA"/>
        </w:rPr>
      </w:pPr>
      <w:r>
        <w:rPr>
          <w:rFonts w:ascii="Times New Roman" w:cs="Times New Roman" w:hAnsi="Times New Roman"/>
          <w:b/>
          <w:sz w:val="28"/>
          <w:szCs w:val="28"/>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1.</w:t>
        <w:tab/>
        <w:t>До компетенції комісії як ініціатора аналізу і розгляду питань у встановленому цим Положенням і Регламентом порядку відносяться:</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6"/>
          <w:szCs w:val="6"/>
          <w:lang w:val="uk-UA"/>
        </w:rPr>
      </w:pPr>
      <w:r>
        <w:rPr>
          <w:rFonts w:ascii="Times New Roman" w:cs="Times New Roman" w:hAnsi="Times New Roman"/>
          <w:sz w:val="6"/>
          <w:szCs w:val="6"/>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а)</w:t>
        <w:tab/>
      </w:r>
      <w:r>
        <w:rPr>
          <w:rFonts w:ascii="Times New Roman" w:cs="Times New Roman" w:hAnsi="Times New Roman"/>
          <w:i/>
          <w:iCs/>
          <w:sz w:val="28"/>
          <w:szCs w:val="28"/>
          <w:lang w:val="uk-UA"/>
        </w:rPr>
        <w:t>ініціювання розгляду питань Радою</w:t>
      </w:r>
      <w:r>
        <w:rPr>
          <w:rFonts w:ascii="Times New Roman" w:cs="Times New Roman" w:hAnsi="Times New Roman"/>
          <w:sz w:val="28"/>
          <w:szCs w:val="28"/>
          <w:lang w:val="uk-UA"/>
        </w:rPr>
        <w:t>:</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щодо стану та розвитку галузей господарства і соціально-культурного будівництва;</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щодо створення додаткових джерел надходжень до бюджету, зокрема через утворення нових фінансово-економічних інститутів;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xml:space="preserve">-   щодо виконання міського бюджету;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щодо ефективності використання бюджетних коштів;</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інших питань в межах напрямків діяльності та функціональної спрямованості комісії;</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6"/>
          <w:szCs w:val="6"/>
          <w:lang w:val="uk-UA"/>
        </w:rPr>
      </w:pPr>
      <w:r>
        <w:rPr>
          <w:rFonts w:ascii="Times New Roman" w:cs="Times New Roman" w:hAnsi="Times New Roman"/>
          <w:sz w:val="6"/>
          <w:szCs w:val="6"/>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б)</w:t>
        <w:tab/>
      </w:r>
      <w:r>
        <w:rPr>
          <w:rFonts w:ascii="Times New Roman" w:cs="Times New Roman" w:hAnsi="Times New Roman"/>
          <w:i/>
          <w:iCs/>
          <w:sz w:val="28"/>
          <w:szCs w:val="28"/>
          <w:lang w:val="uk-UA"/>
        </w:rPr>
        <w:t>попередній розгляд питань</w:t>
      </w:r>
      <w:r>
        <w:rPr>
          <w:rFonts w:ascii="Times New Roman" w:cs="Times New Roman" w:hAnsi="Times New Roman"/>
          <w:sz w:val="28"/>
          <w:szCs w:val="28"/>
          <w:lang w:val="uk-UA"/>
        </w:rPr>
        <w:t>:</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про проекти програм соціально-економічного розвитку міста, цільових програм з інших питань місцевого самоврядування в межах напрямків діяльності комісії;</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про звіт щодо виконання програми соціально-економічного розвитку міста;</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про міський бюджет (далі – бюджет) на наступний рік і виконання бюджету за попередній рік;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про внесення змін до бюджету;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про встановлення місцевих податків і зборів, розмірів їх ставок, про надання пільг на місцеві податки і збори;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про утворення цільових фондів, про положення щодо цільових фондів і звітів про використання коштів;</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про випуск місцевих позик;</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про організацію діяльності органів державної реєстрації юридичних осіб та фізичних осіб-підприємців;</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r>
      <w:r>
        <w:rPr>
          <w:rFonts w:ascii="Times New Roman" w:cs="Times New Roman" w:hAnsi="Times New Roman"/>
          <w:sz w:val="28"/>
          <w:szCs w:val="28"/>
        </w:rPr>
        <w:t xml:space="preserve"> </w:t>
      </w:r>
      <w:r>
        <w:rPr>
          <w:rFonts w:ascii="Times New Roman" w:cs="Times New Roman" w:hAnsi="Times New Roman"/>
          <w:sz w:val="28"/>
          <w:szCs w:val="28"/>
          <w:lang w:val="uk-UA"/>
        </w:rPr>
        <w:t> інших питань в межах напрямків діяльності та функціональної спрямованості комісії;</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6"/>
          <w:szCs w:val="6"/>
          <w:lang w:val="uk-UA"/>
        </w:rPr>
      </w:pPr>
      <w:r>
        <w:rPr>
          <w:rFonts w:ascii="Times New Roman" w:cs="Times New Roman" w:hAnsi="Times New Roman"/>
          <w:sz w:val="6"/>
          <w:szCs w:val="6"/>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6"/>
          <w:szCs w:val="6"/>
          <w:lang w:val="uk-UA"/>
        </w:rPr>
      </w:pPr>
      <w:r>
        <w:rPr>
          <w:rFonts w:ascii="Times New Roman" w:cs="Times New Roman" w:hAnsi="Times New Roman"/>
          <w:sz w:val="6"/>
          <w:szCs w:val="6"/>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в)</w:t>
        <w:tab/>
      </w:r>
      <w:r>
        <w:rPr>
          <w:rFonts w:ascii="Times New Roman" w:cs="Times New Roman" w:hAnsi="Times New Roman"/>
          <w:i/>
          <w:iCs/>
          <w:sz w:val="28"/>
          <w:szCs w:val="28"/>
          <w:lang w:val="uk-UA"/>
        </w:rPr>
        <w:t>вивчення діяльності органів Ради, підприємств, установ, організацій</w:t>
      </w:r>
      <w:r>
        <w:rPr>
          <w:rFonts w:ascii="Times New Roman" w:cs="Times New Roman" w:hAnsi="Times New Roman"/>
          <w:sz w:val="28"/>
          <w:szCs w:val="28"/>
          <w:lang w:val="uk-UA"/>
        </w:rPr>
        <w:t>:</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аналіз роботи підприємств, установ та організацій незалежно від форм власності щодо участі в комплексному соціально-економічному розвитку міста;</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аналіз ефективності використання бюджетних коштів;</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аналіз роботи організацій, що фінансуються з бюджету щодо діяльності, пов'язаної з отриманням власних доходів;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аналіз ефективності діяльності суб'єктів, за рахунок яких формується прибуткова частина бюджету;</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xml:space="preserve">- аналіз надходжень до міського бюджету усіх податків, зборів, орендної плати тощо;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щомісячний аналіз виконання витратної частини міського бюджету;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інших питань в межах напрямків діяльності та функціональної спрямованості комісії;</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6"/>
          <w:szCs w:val="6"/>
          <w:lang w:val="uk-UA"/>
        </w:rPr>
      </w:pPr>
      <w:r>
        <w:rPr>
          <w:rFonts w:ascii="Times New Roman" w:cs="Times New Roman" w:hAnsi="Times New Roman"/>
          <w:sz w:val="6"/>
          <w:szCs w:val="6"/>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6"/>
          <w:szCs w:val="6"/>
          <w:lang w:val="uk-UA"/>
        </w:rPr>
      </w:pPr>
      <w:r>
        <w:rPr>
          <w:rFonts w:ascii="Times New Roman" w:cs="Times New Roman" w:hAnsi="Times New Roman"/>
          <w:sz w:val="6"/>
          <w:szCs w:val="6"/>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г)</w:t>
        <w:tab/>
      </w:r>
      <w:r>
        <w:rPr>
          <w:rFonts w:ascii="Times New Roman" w:cs="Times New Roman" w:hAnsi="Times New Roman"/>
          <w:i/>
          <w:iCs/>
          <w:sz w:val="28"/>
          <w:szCs w:val="28"/>
          <w:lang w:val="uk-UA"/>
        </w:rPr>
        <w:t>підготовка інформації для депутатів</w:t>
      </w:r>
      <w:r>
        <w:rPr>
          <w:rFonts w:ascii="Times New Roman" w:cs="Times New Roman" w:hAnsi="Times New Roman"/>
          <w:sz w:val="28"/>
          <w:szCs w:val="28"/>
          <w:lang w:val="uk-UA"/>
        </w:rPr>
        <w:t xml:space="preserve">: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про фінансове забезпечення програм соціально-економічного і культурного розвитку, цільових програм – один раз на півріччя;</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про хід виконання бюджету, його доходах і видатках - не рідше, ніж один раз на півріччя;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про розмір ставок місцевих податків (зборів) – один раз на півріччя;</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іншої інформації в межах напрямків діяльності та функціональної спрямованості комісії – у разі необхідності.</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6"/>
          <w:szCs w:val="6"/>
          <w:lang w:val="uk-UA"/>
        </w:rPr>
      </w:pPr>
      <w:r>
        <w:rPr>
          <w:rFonts w:ascii="Times New Roman" w:cs="Times New Roman" w:hAnsi="Times New Roman"/>
          <w:sz w:val="6"/>
          <w:szCs w:val="6"/>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6"/>
          <w:szCs w:val="6"/>
          <w:lang w:val="uk-UA"/>
        </w:rPr>
      </w:pPr>
      <w:r>
        <w:rPr>
          <w:rFonts w:ascii="Times New Roman" w:cs="Times New Roman" w:hAnsi="Times New Roman"/>
          <w:sz w:val="6"/>
          <w:szCs w:val="6"/>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6"/>
          <w:szCs w:val="6"/>
          <w:lang w:val="uk-UA"/>
        </w:rPr>
      </w:pPr>
      <w:r>
        <w:rPr>
          <w:rFonts w:ascii="Times New Roman" w:cs="Times New Roman" w:hAnsi="Times New Roman"/>
          <w:sz w:val="6"/>
          <w:szCs w:val="6"/>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6"/>
          <w:szCs w:val="6"/>
          <w:lang w:val="uk-UA"/>
        </w:rPr>
      </w:pPr>
      <w:r>
        <w:rPr>
          <w:rFonts w:ascii="Times New Roman" w:cs="Times New Roman" w:hAnsi="Times New Roman"/>
          <w:sz w:val="6"/>
          <w:szCs w:val="6"/>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6"/>
          <w:szCs w:val="6"/>
          <w:lang w:val="uk-UA"/>
        </w:rPr>
      </w:pPr>
      <w:r>
        <w:rPr>
          <w:rFonts w:ascii="Times New Roman" w:cs="Times New Roman" w:hAnsi="Times New Roman"/>
          <w:sz w:val="6"/>
          <w:szCs w:val="6"/>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b/>
          <w:bCs/>
          <w:sz w:val="28"/>
          <w:szCs w:val="28"/>
          <w:lang w:val="uk-UA"/>
        </w:rPr>
      </w:pPr>
      <w:r>
        <w:rPr>
          <w:rFonts w:ascii="Times New Roman" w:cs="Times New Roman" w:hAnsi="Times New Roman"/>
          <w:b/>
          <w:bCs/>
          <w:sz w:val="28"/>
          <w:szCs w:val="28"/>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b/>
          <w:sz w:val="28"/>
          <w:szCs w:val="28"/>
          <w:lang w:val="uk-UA"/>
        </w:rPr>
      </w:pPr>
      <w:r>
        <w:rPr>
          <w:rFonts w:ascii="Times New Roman" w:cs="Times New Roman" w:hAnsi="Times New Roman"/>
          <w:b/>
          <w:bCs/>
          <w:sz w:val="28"/>
          <w:szCs w:val="28"/>
          <w:lang w:val="uk-UA"/>
        </w:rPr>
        <w:t xml:space="preserve"> </w:t>
      </w:r>
      <w:r>
        <w:rPr>
          <w:rFonts w:ascii="Times New Roman" w:cs="Times New Roman" w:hAnsi="Times New Roman"/>
          <w:b/>
          <w:bCs/>
          <w:sz w:val="28"/>
          <w:szCs w:val="28"/>
          <w:lang w:val="uk-UA"/>
        </w:rPr>
        <w:t>Стаття 24.</w:t>
      </w:r>
      <w:r>
        <w:rPr>
          <w:rFonts w:ascii="Times New Roman" w:cs="Times New Roman" w:hAnsi="Times New Roman"/>
          <w:b/>
          <w:sz w:val="28"/>
          <w:szCs w:val="28"/>
          <w:lang w:val="uk-UA"/>
        </w:rPr>
        <w:t xml:space="preserve"> Постійна депутатська комісія з питань регулювання земельних відносин, архітектури, містобудування, природокористування та екології</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b/>
          <w:bCs/>
          <w:sz w:val="28"/>
          <w:szCs w:val="28"/>
          <w:lang w:val="uk-UA"/>
        </w:rPr>
      </w:pPr>
      <w:r>
        <w:rPr>
          <w:rFonts w:ascii="Times New Roman" w:cs="Times New Roman" w:hAnsi="Times New Roman"/>
          <w:b/>
          <w:bCs/>
          <w:sz w:val="28"/>
          <w:szCs w:val="28"/>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1.</w:t>
        <w:tab/>
        <w:t>До компетенції комісії як ініціатора аналізу і розгляду питань у встановленому цим Положенням і Регламентом порядку відносяться:</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6"/>
          <w:szCs w:val="6"/>
          <w:lang w:val="uk-UA"/>
        </w:rPr>
      </w:pPr>
      <w:r>
        <w:rPr>
          <w:rFonts w:ascii="Times New Roman" w:cs="Times New Roman" w:hAnsi="Times New Roman"/>
          <w:sz w:val="6"/>
          <w:szCs w:val="6"/>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6"/>
          <w:szCs w:val="6"/>
          <w:lang w:val="uk-UA"/>
        </w:rPr>
      </w:pPr>
      <w:r>
        <w:rPr>
          <w:rFonts w:ascii="Times New Roman" w:cs="Times New Roman" w:hAnsi="Times New Roman"/>
          <w:sz w:val="6"/>
          <w:szCs w:val="6"/>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а)</w:t>
        <w:tab/>
      </w:r>
      <w:r>
        <w:rPr>
          <w:rFonts w:ascii="Times New Roman" w:cs="Times New Roman" w:hAnsi="Times New Roman"/>
          <w:i/>
          <w:iCs/>
          <w:sz w:val="28"/>
          <w:szCs w:val="28"/>
          <w:lang w:val="uk-UA"/>
        </w:rPr>
        <w:t>ініціювання розгляду питань міською радою</w:t>
      </w:r>
      <w:r>
        <w:rPr>
          <w:rFonts w:ascii="Times New Roman" w:cs="Times New Roman" w:hAnsi="Times New Roman"/>
          <w:sz w:val="28"/>
          <w:szCs w:val="28"/>
          <w:lang w:val="uk-UA"/>
        </w:rPr>
        <w:t xml:space="preserve">: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щодо регулювання земельних відносин, містобудівної політики;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щодо розмірів ставок земельного податку, плати за користування природними ресурсами, що знаходяться у власності територіальної громади міста;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щодо програм охорони навколишнього природного середовища та раціонального використання природних ресурсів міста, підприємств, установ, організацій всіх форм власності, що розташовані на території міської ради;</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щодо використання коштів фонду охорони навколишнього природного середовища м. Мелітополя, інших витрат коштів місцевого бюджету для здійснення заходів з охорони довкілля;</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щодо надання дозволу на спеціальне використання природних ресурсів місцевого значення, а також про скасування такого дозволу;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щодо організації територій і об'єктів природно-заповідного фонду міського значення та інших територій, що підлягають особливій охороні; внесення пропозицій до відповідних державних органів щодо оголошення пам'ятниками природи, які охороняються законом, природних та інших об'єктів, що мають екологічну, наукову цінність;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щодо припинення господарської діяльності підприємств, установ, організацій місцевого підпорядкування, а також обмеження чи зупинення (тимчасово) діяльності не підпорядкованих Раді підприємств, установ та    організацій в разі порушення ними природоохоронного законодавства;</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інших питань в межах напрямків діяльності та функціональної спрямованості комісії;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6"/>
          <w:szCs w:val="6"/>
          <w:lang w:val="uk-UA"/>
        </w:rPr>
      </w:pPr>
      <w:r>
        <w:rPr>
          <w:rFonts w:ascii="Times New Roman" w:cs="Times New Roman" w:hAnsi="Times New Roman"/>
          <w:sz w:val="6"/>
          <w:szCs w:val="6"/>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6"/>
          <w:szCs w:val="6"/>
          <w:lang w:val="uk-UA"/>
        </w:rPr>
      </w:pPr>
      <w:r>
        <w:rPr>
          <w:rFonts w:ascii="Times New Roman" w:cs="Times New Roman" w:hAnsi="Times New Roman"/>
          <w:sz w:val="6"/>
          <w:szCs w:val="6"/>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б)</w:t>
        <w:tab/>
      </w:r>
      <w:r>
        <w:rPr>
          <w:rFonts w:ascii="Times New Roman" w:cs="Times New Roman" w:hAnsi="Times New Roman"/>
          <w:i/>
          <w:iCs/>
          <w:sz w:val="28"/>
          <w:szCs w:val="28"/>
          <w:lang w:val="uk-UA"/>
        </w:rPr>
        <w:t>попередній розгляд питань</w:t>
      </w:r>
      <w:r>
        <w:rPr>
          <w:rFonts w:ascii="Times New Roman" w:cs="Times New Roman" w:hAnsi="Times New Roman"/>
          <w:sz w:val="28"/>
          <w:szCs w:val="28"/>
          <w:lang w:val="uk-UA"/>
        </w:rPr>
        <w:t xml:space="preserve">: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про передачу, надання, вилучення, продаж і викуп земельних ділянок;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про обмеження, тимчасову заборону (припинення) використання земельних ділянок громадянами й юридичними особами у разі порушення ними вимог земельного законодавства;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про встановлення і зміну меж районів у місті;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про затвердження генерального плану, містобудівних програм, іншої містобудівної документації, проектів внутрішньогосподарського землеустрою;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про затвердження і використання цільових фондів містобудування і землекористування;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про затвердження планів та програм будівництва і реконструкції об'єктів в місті, а також звітів про їх виконання;</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про поводження з небезпечними відходами відповідно до законодавства; </w:t>
      </w:r>
    </w:p>
    <w:p>
      <w:pPr>
        <w:pStyle w:val="style0"/>
        <w:widowControl w:val="false"/>
        <w:tabs>
          <w:tab w:leader="none" w:pos="851" w:val="left"/>
        </w:tabs>
        <w:spacing w:after="0" w:before="0" w:line="100" w:lineRule="atLeast"/>
        <w:ind w:firstLine="510" w:left="57" w:right="-2"/>
        <w:contextualSpacing w:val="false"/>
        <w:rPr>
          <w:rFonts w:ascii="Times New Roman" w:cs="Times New Roman" w:hAnsi="Times New Roman"/>
          <w:sz w:val="28"/>
          <w:szCs w:val="28"/>
          <w:lang w:val="uk-UA"/>
        </w:rPr>
      </w:pPr>
      <w:r>
        <w:rPr>
          <w:rFonts w:ascii="Times New Roman" w:cs="Times New Roman" w:hAnsi="Times New Roman"/>
          <w:sz w:val="28"/>
          <w:szCs w:val="28"/>
          <w:lang w:val="uk-UA"/>
        </w:rPr>
        <w:t>-</w:t>
        <w:tab/>
        <w:t>про формування основних напрямків екологічної, ресурсозберігаючої політики на місцевому рівні;</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про врахування екологічних вимог у проектах планування та забудови міста, проектах землеустрою при  відведенні земельних ділянок для цільового використання, у першу чергу для об’єктів, розташованих поблизу зон рекреації, прибережних смуг, природоохоронних об’єктів тощо;</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про створення та визначення статусу резервних, у т. ч. валютних фондів для фінансування програм та інших заходів щодо охорони навколишнього природного середовища;</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xml:space="preserve">- </w:t>
      </w:r>
      <w:r>
        <w:rPr>
          <w:rFonts w:ascii="Times New Roman" w:cs="Times New Roman" w:hAnsi="Times New Roman"/>
          <w:sz w:val="28"/>
          <w:szCs w:val="28"/>
        </w:rPr>
        <w:t xml:space="preserve"> </w:t>
      </w:r>
      <w:r>
        <w:rPr>
          <w:rFonts w:ascii="Times New Roman" w:cs="Times New Roman" w:hAnsi="Times New Roman"/>
          <w:sz w:val="28"/>
          <w:szCs w:val="28"/>
          <w:lang w:val="uk-UA"/>
        </w:rPr>
        <w:t>про проведення екологічної експертизи об’єктів;</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про затвердження містобудівних обґрунтувань об’єктів містобудування, відведення земельних ділянок в рекреаційних, зелених зонах, прибережних смугах водних об’єктів, природно-заповідного та іншого природоохоронного призначення, а також на земельних ділянках та на територіях, що межують з земельними ділянками, які мають вищезазначений статус;</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xml:space="preserve">- інших питань в межах напрямків діяльності та функціональної спрямованості комісії;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6"/>
          <w:szCs w:val="6"/>
          <w:lang w:val="uk-UA"/>
        </w:rPr>
      </w:pPr>
      <w:r>
        <w:rPr>
          <w:rFonts w:ascii="Times New Roman" w:cs="Times New Roman" w:hAnsi="Times New Roman"/>
          <w:sz w:val="6"/>
          <w:szCs w:val="6"/>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6"/>
          <w:szCs w:val="6"/>
          <w:lang w:val="uk-UA"/>
        </w:rPr>
      </w:pPr>
      <w:r>
        <w:rPr>
          <w:rFonts w:ascii="Times New Roman" w:cs="Times New Roman" w:hAnsi="Times New Roman"/>
          <w:sz w:val="6"/>
          <w:szCs w:val="6"/>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6"/>
          <w:szCs w:val="6"/>
          <w:lang w:val="uk-UA"/>
        </w:rPr>
      </w:pPr>
      <w:r>
        <w:rPr>
          <w:rFonts w:ascii="Times New Roman" w:cs="Times New Roman" w:hAnsi="Times New Roman"/>
          <w:sz w:val="6"/>
          <w:szCs w:val="6"/>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в)</w:t>
        <w:tab/>
      </w:r>
      <w:r>
        <w:rPr>
          <w:rFonts w:ascii="Times New Roman" w:cs="Times New Roman" w:hAnsi="Times New Roman"/>
          <w:i/>
          <w:iCs/>
          <w:sz w:val="28"/>
          <w:szCs w:val="28"/>
          <w:lang w:val="uk-UA"/>
        </w:rPr>
        <w:t>вивчення діяльності органів міської ради, підприємств, установ, організацій</w:t>
      </w:r>
      <w:r>
        <w:rPr>
          <w:rFonts w:ascii="Times New Roman" w:cs="Times New Roman" w:hAnsi="Times New Roman"/>
          <w:sz w:val="28"/>
          <w:szCs w:val="28"/>
          <w:lang w:val="uk-UA"/>
        </w:rPr>
        <w:t xml:space="preserve">: </w:t>
      </w:r>
    </w:p>
    <w:p>
      <w:pPr>
        <w:pStyle w:val="style0"/>
        <w:widowControl w:val="false"/>
        <w:tabs>
          <w:tab w:leader="none" w:pos="851" w:val="left"/>
        </w:tabs>
        <w:spacing w:after="0" w:before="0" w:line="100" w:lineRule="atLeast"/>
        <w:ind w:hanging="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xml:space="preserve">       </w:t>
      </w:r>
      <w:r>
        <w:rPr>
          <w:rFonts w:ascii="Times New Roman" w:cs="Times New Roman" w:hAnsi="Times New Roman"/>
          <w:sz w:val="28"/>
          <w:szCs w:val="28"/>
          <w:lang w:val="uk-UA"/>
        </w:rPr>
        <w:t>-</w:t>
        <w:tab/>
        <w:t xml:space="preserve">аналіз діяльності управлінь та відділів міської ради у сфері, віднесеній до компетенції комісії;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аналіз стану і заходів з будівництва, реконструкції і ремонту об'єктів комунальної власності, житлових будівель;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xml:space="preserve">- аналіз реалізації заходів щодо здійснення екологічних і містобудівних програм, проведення земельної реформи;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аналіз необхідних заходів щодо попередження та ліквідації наслідків екологічних катастроф, стихійного лиха, інших надзвичайних ситуацій, інформування про них населення, залучення в установленому законом порядку до цих робіт підприємств, установ та організацій, а також населення;</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взаємодія з громадськими неурядовими організаціями, широкими верствами населення з питань охорони навколишнього природного середовища;</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інших питань у межах напрямків діяльності та функціональної спрямованості комісії;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6"/>
          <w:szCs w:val="6"/>
          <w:lang w:val="uk-UA"/>
        </w:rPr>
      </w:pPr>
      <w:r>
        <w:rPr>
          <w:rFonts w:ascii="Times New Roman" w:cs="Times New Roman" w:hAnsi="Times New Roman"/>
          <w:sz w:val="6"/>
          <w:szCs w:val="6"/>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6"/>
          <w:szCs w:val="6"/>
          <w:lang w:val="uk-UA"/>
        </w:rPr>
      </w:pPr>
      <w:r>
        <w:rPr>
          <w:rFonts w:ascii="Times New Roman" w:cs="Times New Roman" w:hAnsi="Times New Roman"/>
          <w:sz w:val="6"/>
          <w:szCs w:val="6"/>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г)</w:t>
        <w:tab/>
      </w:r>
      <w:r>
        <w:rPr>
          <w:rFonts w:ascii="Times New Roman" w:cs="Times New Roman" w:hAnsi="Times New Roman"/>
          <w:i/>
          <w:iCs/>
          <w:sz w:val="28"/>
          <w:szCs w:val="28"/>
          <w:lang w:val="uk-UA"/>
        </w:rPr>
        <w:t>підготовка інформації для депутатів</w:t>
      </w:r>
      <w:r>
        <w:rPr>
          <w:rFonts w:ascii="Times New Roman" w:cs="Times New Roman" w:hAnsi="Times New Roman"/>
          <w:sz w:val="28"/>
          <w:szCs w:val="28"/>
          <w:lang w:val="uk-UA"/>
        </w:rPr>
        <w:t xml:space="preserve">: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про здійснення земельної реформи в місті – один раз в півріччя;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про хід будівництва і введення в експлуатацію закінчених будівництвом об'єктів в місті – один раз в півріччя;</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іншої інформації в межах напрямків діяльності та функціональної спрямованості комісії – у разі необхідності.</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b/>
          <w:color w:val="000000"/>
          <w:sz w:val="28"/>
          <w:szCs w:val="28"/>
          <w:lang w:val="uk-UA"/>
        </w:rPr>
      </w:pPr>
      <w:r>
        <w:rPr>
          <w:rFonts w:ascii="Times New Roman" w:cs="Times New Roman" w:hAnsi="Times New Roman"/>
          <w:b/>
          <w:bCs/>
          <w:sz w:val="28"/>
          <w:szCs w:val="28"/>
          <w:lang w:val="uk-UA"/>
        </w:rPr>
        <w:t xml:space="preserve"> </w:t>
      </w:r>
      <w:r>
        <w:rPr>
          <w:rFonts w:ascii="Times New Roman" w:cs="Times New Roman" w:hAnsi="Times New Roman"/>
          <w:b/>
          <w:bCs/>
          <w:sz w:val="28"/>
          <w:szCs w:val="28"/>
          <w:lang w:val="uk-UA"/>
        </w:rPr>
        <w:t xml:space="preserve">Стаття 25. </w:t>
      </w:r>
      <w:r>
        <w:rPr>
          <w:rFonts w:ascii="Times New Roman" w:cs="Times New Roman" w:hAnsi="Times New Roman"/>
          <w:b/>
          <w:sz w:val="28"/>
          <w:szCs w:val="28"/>
          <w:lang w:val="uk-UA"/>
        </w:rPr>
        <w:t xml:space="preserve">Постійна депутатська комісія </w:t>
      </w:r>
      <w:r>
        <w:rPr>
          <w:rFonts w:ascii="Times New Roman" w:cs="Times New Roman" w:hAnsi="Times New Roman"/>
          <w:b/>
          <w:color w:val="000000"/>
          <w:sz w:val="28"/>
          <w:szCs w:val="28"/>
          <w:lang w:val="uk-UA"/>
        </w:rPr>
        <w:t>з питань житлово-комунального господарства, благоустрою, енергозбереження, транспорту та зв’язку</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b/>
          <w:bCs/>
          <w:sz w:val="28"/>
          <w:szCs w:val="28"/>
          <w:lang w:val="uk-UA"/>
        </w:rPr>
      </w:pPr>
      <w:r>
        <w:rPr>
          <w:rFonts w:ascii="Times New Roman" w:cs="Times New Roman" w:hAnsi="Times New Roman"/>
          <w:b/>
          <w:bCs/>
          <w:sz w:val="28"/>
          <w:szCs w:val="28"/>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1.</w:t>
        <w:tab/>
        <w:t>До компетенції комісії як ініціатора аналізу і розгляду питань у встановленому цим Положенням і Регламентом порядку відносяться:</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6"/>
          <w:szCs w:val="6"/>
          <w:lang w:val="uk-UA"/>
        </w:rPr>
      </w:pPr>
      <w:r>
        <w:rPr>
          <w:rFonts w:ascii="Times New Roman" w:cs="Times New Roman" w:hAnsi="Times New Roman"/>
          <w:sz w:val="6"/>
          <w:szCs w:val="6"/>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а)</w:t>
        <w:tab/>
      </w:r>
      <w:r>
        <w:rPr>
          <w:rFonts w:ascii="Times New Roman" w:cs="Times New Roman" w:hAnsi="Times New Roman"/>
          <w:i/>
          <w:iCs/>
          <w:sz w:val="28"/>
          <w:szCs w:val="28"/>
          <w:lang w:val="uk-UA"/>
        </w:rPr>
        <w:t>ініціювання розгляду питань Радою</w:t>
      </w:r>
      <w:r>
        <w:rPr>
          <w:rFonts w:ascii="Times New Roman" w:cs="Times New Roman" w:hAnsi="Times New Roman"/>
          <w:sz w:val="28"/>
          <w:szCs w:val="28"/>
          <w:lang w:val="uk-UA"/>
        </w:rPr>
        <w:t xml:space="preserve">: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щодо забезпечення управління об'єктами житлово-комунального господарства комунальної власності, а також тими, що належать відомствам та іншим власникам в межах чинного законодавства;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щодо удосконалення діяльності підприємств житлово-комунального господарства;</w:t>
      </w:r>
    </w:p>
    <w:p>
      <w:pPr>
        <w:pStyle w:val="style0"/>
        <w:widowControl w:val="false"/>
        <w:tabs>
          <w:tab w:leader="none" w:pos="851" w:val="left"/>
        </w:tabs>
        <w:spacing w:after="0" w:before="0" w:line="100" w:lineRule="atLeast"/>
        <w:ind w:firstLine="567" w:left="0"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щодо залучення підприємств, установ, організацій до обслуговування населення міста засобами транспорту і зв'язку у встановленому законом порядку;</w:t>
      </w:r>
    </w:p>
    <w:p>
      <w:pPr>
        <w:pStyle w:val="style0"/>
        <w:widowControl w:val="false"/>
        <w:tabs>
          <w:tab w:leader="none" w:pos="851" w:val="left"/>
        </w:tabs>
        <w:spacing w:after="0" w:before="0" w:line="100" w:lineRule="atLeast"/>
        <w:ind w:firstLine="567" w:left="0"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щодо програм з питань енергозбереження;</w:t>
      </w:r>
    </w:p>
    <w:p>
      <w:pPr>
        <w:pStyle w:val="style0"/>
        <w:widowControl w:val="false"/>
        <w:tabs>
          <w:tab w:leader="none" w:pos="851" w:val="left"/>
        </w:tabs>
        <w:spacing w:after="0" w:before="0" w:line="100" w:lineRule="atLeast"/>
        <w:ind w:firstLine="567" w:left="0"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щодо використання коштів для здійснення заходів з питань енергозбереження;</w:t>
      </w:r>
    </w:p>
    <w:p>
      <w:pPr>
        <w:pStyle w:val="style0"/>
        <w:widowControl w:val="false"/>
        <w:tabs>
          <w:tab w:leader="none" w:pos="851" w:val="left"/>
        </w:tabs>
        <w:spacing w:after="0" w:before="0" w:line="100" w:lineRule="atLeast"/>
        <w:ind w:firstLine="567" w:left="0"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щодо роботи промислових підприємств незалежно від форм власності для забезпечення ефективного використання енергетичних ресурсів та стимулювання впровадження енергозберігаючих технологій, реалізації вимог законодавства в питаннях місцевого самоврядування;</w:t>
      </w:r>
    </w:p>
    <w:p>
      <w:pPr>
        <w:pStyle w:val="style0"/>
        <w:widowControl w:val="false"/>
        <w:tabs>
          <w:tab w:leader="none" w:pos="851" w:val="left"/>
        </w:tabs>
        <w:spacing w:after="0" w:before="0" w:line="100" w:lineRule="atLeast"/>
        <w:ind w:firstLine="567" w:left="0"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щодо питань благоустрою території приватного сектору;</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щодо встановлення правил з питань благоустрою території міста, у т.ч. за порушення яких передбачена адміністративна відповідальність; </w:t>
      </w:r>
    </w:p>
    <w:p>
      <w:pPr>
        <w:pStyle w:val="style0"/>
        <w:widowControl w:val="false"/>
        <w:tabs>
          <w:tab w:leader="none" w:pos="851" w:val="left"/>
        </w:tabs>
        <w:spacing w:after="0" w:before="0" w:line="100" w:lineRule="atLeast"/>
        <w:ind w:firstLine="567" w:left="0"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xml:space="preserve">- інших питань в межах напрямків діяльності та функціональної спрямованості комісії;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6"/>
          <w:szCs w:val="6"/>
          <w:lang w:val="uk-UA"/>
        </w:rPr>
      </w:pPr>
      <w:r>
        <w:rPr>
          <w:rFonts w:ascii="Times New Roman" w:cs="Times New Roman" w:hAnsi="Times New Roman"/>
          <w:sz w:val="6"/>
          <w:szCs w:val="6"/>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б)</w:t>
        <w:tab/>
      </w:r>
      <w:r>
        <w:rPr>
          <w:rFonts w:ascii="Times New Roman" w:cs="Times New Roman" w:hAnsi="Times New Roman"/>
          <w:i/>
          <w:iCs/>
          <w:sz w:val="28"/>
          <w:szCs w:val="28"/>
          <w:lang w:val="uk-UA"/>
        </w:rPr>
        <w:t>попередній розгляд питань</w:t>
      </w:r>
      <w:r>
        <w:rPr>
          <w:rFonts w:ascii="Times New Roman" w:cs="Times New Roman" w:hAnsi="Times New Roman"/>
          <w:sz w:val="28"/>
          <w:szCs w:val="28"/>
          <w:lang w:val="uk-UA"/>
        </w:rPr>
        <w:t xml:space="preserve">: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про систему управління й організації діяльності об'єктів житлово-комунального господарства;</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про встановлення зручного для населення режиму роботи підприємств та інших структур житлово-комунального господарства;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про заборону експлуатації житлово-комунальних об'єктів у разі порушення екологічних, санітарних правил або інших вимог законодавства;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про створення, перепрофілювання і реорганізацію міських комунальних підприємств житлово-комунальної сфери;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про забезпечення діяльності об’єктів житлово-комунального господарства в умовах надзвичайних ситуацій та надзвичайного стану;</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про міський бюджет в частині, що стосується видатків, пов’язаних із фінансуванням житлово-комунального господарства, та заходів щодо забезпечення діяльності в умовах надзвичайних ситуацій та надзвичайного стану;</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про надання згоди на розміщення на території міста нових об'єктів, у тому числі місць чи об’єктів для розміщення відходів, сфера екологічного впливу діяльності яких згідно з діючими нормативами, включає територію Ради;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про роботу підприємств, установ, організацій транспорту і зв'язку з питань реалізації програм соціально-економічного розвитку території міста;</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про графіки і маршрути руху міського пасажирського транспорту незалежно від форм власності;</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про роботу підприємств, установ, організацій промисловості, паливно-енергетичного комплексу з питань реалізації програм соціально-економічного розвитку території міста;</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xml:space="preserve">-  інших питань в межах напрямків діяльності та функціональної спрямованості комісії;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6"/>
          <w:szCs w:val="6"/>
          <w:lang w:val="uk-UA"/>
        </w:rPr>
      </w:pPr>
      <w:r>
        <w:rPr>
          <w:rFonts w:ascii="Times New Roman" w:cs="Times New Roman" w:hAnsi="Times New Roman"/>
          <w:sz w:val="6"/>
          <w:szCs w:val="6"/>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в)</w:t>
        <w:tab/>
      </w:r>
      <w:r>
        <w:rPr>
          <w:rFonts w:ascii="Times New Roman" w:cs="Times New Roman" w:hAnsi="Times New Roman"/>
          <w:i/>
          <w:iCs/>
          <w:sz w:val="28"/>
          <w:szCs w:val="28"/>
          <w:lang w:val="uk-UA"/>
        </w:rPr>
        <w:t>вивчення діяльності органів міської ради, підприємств, установ, організацій всіх форм власності м. Мелітополя</w:t>
      </w:r>
      <w:r>
        <w:rPr>
          <w:rFonts w:ascii="Times New Roman" w:cs="Times New Roman" w:hAnsi="Times New Roman"/>
          <w:sz w:val="28"/>
          <w:szCs w:val="28"/>
          <w:lang w:val="uk-UA"/>
        </w:rPr>
        <w:t xml:space="preserve">: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аналіз діяльності управлінь та відділів міської ради у сфері, віднесеній до компетенції цієї комісії;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аналіз діяльності підприємств, що функціонують у сфері житлово-комунального господарства та енергозабезпечення міста, незалежно від форм власності;</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аналіз ефективності системи водопостачання і водовідведення;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аналіз утримання в належному стані кладовищ, військових поховань;</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аналіз ефективності впорядкування території міста;</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здійснення постійного контролю за обсягами виконаних робіт з поточного ремонту за кошти громадян, які нараховані житлово-експлуатаційними підприємствами, незалежно від їх форми власності, згідно з затвердженим, (по кожному будинку окремо), тарифом;</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xml:space="preserve"> </w:t>
      </w:r>
      <w:r>
        <w:rPr>
          <w:rFonts w:ascii="Times New Roman" w:cs="Times New Roman" w:hAnsi="Times New Roman"/>
          <w:sz w:val="28"/>
          <w:szCs w:val="28"/>
          <w:lang w:val="uk-UA"/>
        </w:rPr>
        <w:t>-   аналіз діяльності транспортних підприємств, що здійснюють міські та міжміські пасажирські перевезення, а також підприємств зв'язку;</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аналіз виконання відповідних рішень з питань організації стоянок автомобільного транспорту;</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xml:space="preserve">-  інших питань у межах напрямків діяльності та функціональної спрямованості комісії;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6"/>
          <w:szCs w:val="6"/>
          <w:lang w:val="uk-UA"/>
        </w:rPr>
      </w:pPr>
      <w:r>
        <w:rPr>
          <w:rFonts w:ascii="Times New Roman" w:cs="Times New Roman" w:hAnsi="Times New Roman"/>
          <w:sz w:val="6"/>
          <w:szCs w:val="6"/>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г)</w:t>
        <w:tab/>
      </w:r>
      <w:r>
        <w:rPr>
          <w:rFonts w:ascii="Times New Roman" w:cs="Times New Roman" w:hAnsi="Times New Roman"/>
          <w:i/>
          <w:iCs/>
          <w:sz w:val="28"/>
          <w:szCs w:val="28"/>
          <w:lang w:val="uk-UA"/>
        </w:rPr>
        <w:t>підготовка інформації до уваги депутатів</w:t>
      </w:r>
      <w:r>
        <w:rPr>
          <w:rFonts w:ascii="Times New Roman" w:cs="Times New Roman" w:hAnsi="Times New Roman"/>
          <w:sz w:val="28"/>
          <w:szCs w:val="28"/>
          <w:lang w:val="uk-UA"/>
        </w:rPr>
        <w:t xml:space="preserve">: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про ефективність діяльності системи житлово-комунального господарства - один раз у півріччя;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про реалізацію заходів щодо оптимізації вартості та забезпечення своєчасної оплати житлово-комунальних послуг - не рідше ніж, один раз на півріччя;</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про ефективність роботи міського пасажирського транспорту – один раз в півріччя;</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про ефективність діяльності підприємств промисловості та підприємств, які здійснюють енергозабезпечення міста, – один раз у півріччя;</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іншої інформації в межах напрямків діяльності та функціональної спрямованості комісії – у разі необхідності.</w:t>
      </w:r>
    </w:p>
    <w:p>
      <w:pPr>
        <w:pStyle w:val="style0"/>
        <w:widowControl w:val="false"/>
        <w:tabs>
          <w:tab w:leader="none" w:pos="851" w:val="left"/>
        </w:tabs>
        <w:spacing w:after="0" w:before="0" w:line="100" w:lineRule="atLeast"/>
        <w:ind w:hanging="0" w:left="0" w:right="-2"/>
        <w:contextualSpacing w:val="false"/>
        <w:jc w:val="both"/>
        <w:rPr>
          <w:rFonts w:ascii="Times New Roman" w:cs="Times New Roman" w:hAnsi="Times New Roman"/>
          <w:b/>
          <w:bCs/>
          <w:sz w:val="28"/>
          <w:szCs w:val="28"/>
          <w:lang w:val="uk-UA"/>
        </w:rPr>
      </w:pPr>
      <w:r>
        <w:rPr>
          <w:rFonts w:ascii="Times New Roman" w:cs="Times New Roman" w:hAnsi="Times New Roman"/>
          <w:b/>
          <w:bCs/>
          <w:sz w:val="28"/>
          <w:szCs w:val="28"/>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b/>
          <w:color w:val="000000"/>
          <w:sz w:val="28"/>
          <w:szCs w:val="28"/>
          <w:lang w:val="uk-UA"/>
        </w:rPr>
      </w:pPr>
      <w:r>
        <w:rPr>
          <w:rFonts w:ascii="Times New Roman" w:cs="Times New Roman" w:hAnsi="Times New Roman"/>
          <w:b/>
          <w:bCs/>
          <w:sz w:val="28"/>
          <w:szCs w:val="28"/>
          <w:lang w:val="uk-UA"/>
        </w:rPr>
        <w:t xml:space="preserve"> </w:t>
      </w:r>
      <w:r>
        <w:rPr>
          <w:rFonts w:ascii="Times New Roman" w:cs="Times New Roman" w:hAnsi="Times New Roman"/>
          <w:b/>
          <w:bCs/>
          <w:sz w:val="28"/>
          <w:szCs w:val="28"/>
          <w:lang w:val="uk-UA"/>
        </w:rPr>
        <w:t xml:space="preserve">Стаття 26. </w:t>
      </w:r>
      <w:r>
        <w:rPr>
          <w:rFonts w:ascii="Times New Roman" w:cs="Times New Roman" w:hAnsi="Times New Roman"/>
          <w:b/>
          <w:sz w:val="28"/>
          <w:szCs w:val="28"/>
          <w:lang w:val="uk-UA"/>
        </w:rPr>
        <w:t xml:space="preserve">Постійна депутатська комісія </w:t>
      </w:r>
      <w:r>
        <w:rPr>
          <w:rFonts w:ascii="Times New Roman" w:cs="Times New Roman" w:hAnsi="Times New Roman"/>
          <w:b/>
          <w:color w:val="000000"/>
          <w:sz w:val="28"/>
          <w:szCs w:val="28"/>
          <w:lang w:val="uk-UA"/>
        </w:rPr>
        <w:t xml:space="preserve">з питань законності, взаємодії з правоохоронними органами, регламенту, регуляторної політики, депутатської діяльності та етики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b/>
          <w:bCs/>
          <w:sz w:val="28"/>
          <w:szCs w:val="28"/>
          <w:lang w:val="uk-UA"/>
        </w:rPr>
      </w:pPr>
      <w:r>
        <w:rPr>
          <w:rFonts w:ascii="Times New Roman" w:cs="Times New Roman" w:hAnsi="Times New Roman"/>
          <w:b/>
          <w:bCs/>
          <w:sz w:val="28"/>
          <w:szCs w:val="28"/>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1.</w:t>
        <w:tab/>
        <w:t xml:space="preserve">До компетенції комісії як ініціатора аналізу і розгляду питань у встановленому цим Положенням і Регламентом порядку відносяться: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6"/>
          <w:szCs w:val="6"/>
          <w:lang w:val="uk-UA"/>
        </w:rPr>
      </w:pPr>
      <w:r>
        <w:rPr>
          <w:rFonts w:ascii="Times New Roman" w:cs="Times New Roman" w:hAnsi="Times New Roman"/>
          <w:sz w:val="6"/>
          <w:szCs w:val="6"/>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а)</w:t>
        <w:tab/>
      </w:r>
      <w:r>
        <w:rPr>
          <w:rFonts w:ascii="Times New Roman" w:cs="Times New Roman" w:hAnsi="Times New Roman"/>
          <w:i/>
          <w:iCs/>
          <w:sz w:val="28"/>
          <w:szCs w:val="28"/>
          <w:lang w:val="uk-UA"/>
        </w:rPr>
        <w:t>ініціювання розгляду питань Радою</w:t>
      </w:r>
      <w:r>
        <w:rPr>
          <w:rFonts w:ascii="Times New Roman" w:cs="Times New Roman" w:hAnsi="Times New Roman"/>
          <w:sz w:val="28"/>
          <w:szCs w:val="28"/>
          <w:lang w:val="uk-UA"/>
        </w:rPr>
        <w:t xml:space="preserve">: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щодо діяльності підрозділів поліції, що утримуються за рахунок міського бюджету;</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щодо затвердження дільничних інспекторів підрозділів поліції, що утримуються за рахунок міського бюджету;</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підготовка матеріалів, проектів рішень за інформацією керівників органів внутрішніх справ про їх діяльність щодо охорони громадського порядку;</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щодо боротьби з безпритульністю в місті;</w:t>
      </w:r>
    </w:p>
    <w:p>
      <w:pPr>
        <w:pStyle w:val="style0"/>
        <w:widowControl w:val="false"/>
        <w:tabs>
          <w:tab w:leader="none" w:pos="851" w:val="left"/>
        </w:tabs>
        <w:spacing w:after="0" w:before="0" w:line="100" w:lineRule="atLeast"/>
        <w:ind w:firstLine="54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щодо забезпечення реалізації Закону України «Про статус депутатів місцевих рад»;</w:t>
      </w:r>
    </w:p>
    <w:p>
      <w:pPr>
        <w:pStyle w:val="style0"/>
        <w:widowControl w:val="false"/>
        <w:tabs>
          <w:tab w:leader="none" w:pos="851" w:val="left"/>
        </w:tabs>
        <w:spacing w:after="0" w:before="0" w:line="100" w:lineRule="atLeast"/>
        <w:ind w:firstLine="54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щодо заслуховування повідомлень депутатів про роботу в Раді, виконання ними доручень Ради;</w:t>
      </w:r>
    </w:p>
    <w:p>
      <w:pPr>
        <w:pStyle w:val="style0"/>
        <w:widowControl w:val="false"/>
        <w:tabs>
          <w:tab w:leader="none" w:pos="851" w:val="left"/>
        </w:tabs>
        <w:spacing w:after="0" w:before="0" w:line="100" w:lineRule="atLeast"/>
        <w:ind w:firstLine="54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щодо контролю розгляду депутатських запитів, депутатських звернень, звернень виборців;</w:t>
      </w:r>
    </w:p>
    <w:p>
      <w:pPr>
        <w:pStyle w:val="style0"/>
        <w:widowControl w:val="false"/>
        <w:tabs>
          <w:tab w:leader="none" w:pos="851" w:val="left"/>
        </w:tabs>
        <w:spacing w:after="0" w:before="0" w:line="100" w:lineRule="atLeast"/>
        <w:ind w:firstLine="54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щодо дострокового припинення повноважень депутатів;</w:t>
      </w:r>
    </w:p>
    <w:p>
      <w:pPr>
        <w:pStyle w:val="style0"/>
        <w:widowControl w:val="false"/>
        <w:tabs>
          <w:tab w:leader="none" w:pos="851" w:val="left"/>
        </w:tabs>
        <w:spacing w:after="0" w:before="0" w:line="100" w:lineRule="atLeast"/>
        <w:ind w:firstLine="54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щодо створення та діяльності органів самоорганізації населення;</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xml:space="preserve"> </w:t>
      </w:r>
      <w:r>
        <w:rPr>
          <w:rFonts w:ascii="Times New Roman" w:cs="Times New Roman" w:hAnsi="Times New Roman"/>
          <w:sz w:val="28"/>
          <w:szCs w:val="28"/>
          <w:lang w:val="uk-UA"/>
        </w:rPr>
        <w:t>-  щодо питань, які вносяться на розгляд Ради у порядку місцевої ініціативи і загальними зборами громадян за місцем проживання;</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xml:space="preserve"> </w:t>
      </w:r>
      <w:r>
        <w:rPr>
          <w:rFonts w:ascii="Times New Roman" w:cs="Times New Roman" w:hAnsi="Times New Roman"/>
          <w:sz w:val="28"/>
          <w:szCs w:val="28"/>
          <w:lang w:val="uk-UA"/>
        </w:rPr>
        <w:t>-  щодо звітів про здійснення державної регуляторної політики у частині, що віднесена законом до компетенції Постійних комісій згідно з Законом України «Про засади державної регуляторної політики у сфері господарської діяльності»;</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xml:space="preserve"> </w:t>
      </w:r>
      <w:r>
        <w:rPr>
          <w:rFonts w:ascii="Times New Roman" w:cs="Times New Roman" w:hAnsi="Times New Roman"/>
          <w:sz w:val="28"/>
          <w:szCs w:val="28"/>
          <w:lang w:val="uk-UA"/>
        </w:rPr>
        <w:t>- щодо формування плану діяльності з підготовки проектів регуляторних актів;</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xml:space="preserve"> </w:t>
      </w:r>
      <w:r>
        <w:rPr>
          <w:rFonts w:ascii="Times New Roman" w:cs="Times New Roman" w:hAnsi="Times New Roman"/>
          <w:sz w:val="28"/>
          <w:szCs w:val="28"/>
          <w:lang w:val="uk-UA"/>
        </w:rPr>
        <w:t>-   щодо підготовки висновків, матеріалів, проектів регуляторних актів;</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xml:space="preserve"> </w:t>
      </w:r>
      <w:r>
        <w:rPr>
          <w:rFonts w:ascii="Times New Roman" w:cs="Times New Roman" w:hAnsi="Times New Roman"/>
          <w:sz w:val="28"/>
          <w:szCs w:val="28"/>
          <w:lang w:val="uk-UA"/>
        </w:rPr>
        <w:t xml:space="preserve">- інших питань в межах напрямків діяльності та функціональної спрямованості комісії;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6"/>
          <w:szCs w:val="6"/>
          <w:lang w:val="uk-UA"/>
        </w:rPr>
      </w:pPr>
      <w:r>
        <w:rPr>
          <w:rFonts w:ascii="Times New Roman" w:cs="Times New Roman" w:hAnsi="Times New Roman"/>
          <w:sz w:val="6"/>
          <w:szCs w:val="6"/>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i/>
          <w:iCs/>
          <w:sz w:val="28"/>
          <w:szCs w:val="28"/>
          <w:lang w:val="uk-UA"/>
        </w:rPr>
      </w:pPr>
      <w:r>
        <w:rPr>
          <w:rFonts w:ascii="Times New Roman" w:cs="Times New Roman" w:hAnsi="Times New Roman"/>
          <w:sz w:val="28"/>
          <w:szCs w:val="28"/>
          <w:lang w:val="uk-UA"/>
        </w:rPr>
        <w:t>б)</w:t>
        <w:tab/>
      </w:r>
      <w:r>
        <w:rPr>
          <w:rFonts w:ascii="Times New Roman" w:cs="Times New Roman" w:hAnsi="Times New Roman"/>
          <w:i/>
          <w:iCs/>
          <w:sz w:val="28"/>
          <w:szCs w:val="28"/>
          <w:lang w:val="uk-UA"/>
        </w:rPr>
        <w:t>попередній розгляд питань:</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про створення й роботу підрозділів поліції, які утримуються за рахунок міського бюджету;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про притягнення до відповідальності посадових осіб, які ігнорують законні вимоги і рішення Ради та її виконавчих органів;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про визнання незаконними актів органів виконавчої влади, інших органів місцевого самоврядування, підприємств, установ, організацій, які обмежують права територіальної громади міста, повноваження Ради, її органів і посадових осіб;</w:t>
      </w:r>
    </w:p>
    <w:p>
      <w:pPr>
        <w:pStyle w:val="style0"/>
        <w:widowControl w:val="false"/>
        <w:spacing w:after="0" w:before="0" w:line="100" w:lineRule="atLeast"/>
        <w:ind w:firstLine="567" w:left="0"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про задоволення подання прокуратури чи його відхилення на рішення Ради;</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про виконання депутатами рішень і доручень Ради, явку їх на пленарні засідання сесій і засідання Постійних комісій;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про дотримання норм депутатської етики;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про пропозиції громадян, прийняті на їх загальних зборах за місцем проживання;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про надання повноважень органам самоорганізації населення;</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xml:space="preserve">-  про утворення, ліквідацію, реорганізацію, перепрофілювання і зміну найменувань підприємств, установ, організацій комунальної форми власності;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xml:space="preserve">-  про створення підприємствами комунальної форми власності спільних підприємств, в тому числі з іноземними інвестиціями;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про прийняття та проходження служби в органах місцевого самоврядування;</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про звіти щодо здійснення державної регуляторної політики у частині, що віднесена законом до компетенції Постійних комісій згідно з Законом України «Про засади державної регуляторної політики у сфері господарської діяльності»;</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про пропозиції від розробників проектів регуляторних актів на календарний рік та їх узагальнення;</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про проекти рішень Ради, що містять ознаки регуляторних актів;</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про інші питання в межах напрямків діяльності та функціональної спрямованості комісії;</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6"/>
          <w:szCs w:val="6"/>
          <w:lang w:val="uk-UA"/>
        </w:rPr>
      </w:pPr>
      <w:r>
        <w:rPr>
          <w:rFonts w:ascii="Times New Roman" w:cs="Times New Roman" w:hAnsi="Times New Roman"/>
          <w:sz w:val="6"/>
          <w:szCs w:val="6"/>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в)</w:t>
        <w:tab/>
      </w:r>
      <w:r>
        <w:rPr>
          <w:rFonts w:ascii="Times New Roman" w:cs="Times New Roman" w:hAnsi="Times New Roman"/>
          <w:i/>
          <w:iCs/>
          <w:sz w:val="28"/>
          <w:szCs w:val="28"/>
          <w:lang w:val="uk-UA"/>
        </w:rPr>
        <w:t>вивчення діяльності органів Ради, підприємств, установ, організацій</w:t>
      </w:r>
      <w:r>
        <w:rPr>
          <w:rFonts w:ascii="Times New Roman" w:cs="Times New Roman" w:hAnsi="Times New Roman"/>
          <w:sz w:val="28"/>
          <w:szCs w:val="28"/>
          <w:lang w:val="uk-UA"/>
        </w:rPr>
        <w:t xml:space="preserve">: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аналіз діяльності посадових осіб та органів Ради у сфері, віднесеній до компетенції цієї комісії;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аналіз стану і заходів щодо забезпечення охорони громадського порядку і боротьби із злочинністю в місті;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аналіз надання депутатам передбачених законом можливостей виконувати депутатські обов'язки і реалізовувати свої права;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аналіз діяльності органів самоорганізації населення;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аналіз діяльності адміністративної комісії при виконавчому комітеті Ради;</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вивчення діяльності Ради в частині реалізації повноважень у здійсненні державної регуляторної політики;</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інших питань в межах напрямків діяльності та функціональної спрямованості комісії;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6"/>
          <w:szCs w:val="6"/>
          <w:lang w:val="uk-UA"/>
        </w:rPr>
      </w:pPr>
      <w:r>
        <w:rPr>
          <w:rFonts w:ascii="Times New Roman" w:cs="Times New Roman" w:hAnsi="Times New Roman"/>
          <w:sz w:val="6"/>
          <w:szCs w:val="6"/>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г)</w:t>
        <w:tab/>
      </w:r>
      <w:r>
        <w:rPr>
          <w:rFonts w:ascii="Times New Roman" w:cs="Times New Roman" w:hAnsi="Times New Roman"/>
          <w:i/>
          <w:iCs/>
          <w:sz w:val="28"/>
          <w:szCs w:val="28"/>
          <w:lang w:val="uk-UA"/>
        </w:rPr>
        <w:t>підготовка інформації до уваги депутатів</w:t>
      </w:r>
      <w:r>
        <w:rPr>
          <w:rFonts w:ascii="Times New Roman" w:cs="Times New Roman" w:hAnsi="Times New Roman"/>
          <w:sz w:val="28"/>
          <w:szCs w:val="28"/>
          <w:lang w:val="uk-UA"/>
        </w:rPr>
        <w:t xml:space="preserve">: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про стан правопорушень і злочинності в місті – один раз на півріччя;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про дотримання вимог законодавства при ухваленні рішень та інших актів органами Ради – один раз на півріччя;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про явку депутатів на пленарні засідання сесій, засідання постійних комісій – щоквартально;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про досвід реалізації депутатських повноважень – в міру необхідності, але не рідше, ніж один раз на півріччя;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про досвід роботи органів самоорганізації населення - не рідше, ніж один раз на півріччя;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про стан реалізації покладених на Раду повноважень у здійсненні державної регуляторної політики – один раз в півріччя;</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іншої інформації в межах напрямків діяльності та функціональної спрямованості комісії – у разі необхідності;</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д)</w:t>
        <w:tab/>
      </w:r>
      <w:r>
        <w:rPr>
          <w:rFonts w:ascii="Times New Roman" w:cs="Times New Roman" w:hAnsi="Times New Roman"/>
          <w:i/>
          <w:iCs/>
          <w:sz w:val="28"/>
          <w:szCs w:val="28"/>
          <w:lang w:val="uk-UA"/>
        </w:rPr>
        <w:t>забезпечення</w:t>
      </w:r>
      <w:r>
        <w:rPr>
          <w:rFonts w:ascii="Times New Roman" w:cs="Times New Roman" w:hAnsi="Times New Roman"/>
          <w:sz w:val="28"/>
          <w:szCs w:val="28"/>
          <w:lang w:val="uk-UA"/>
        </w:rPr>
        <w:t>:</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організації реалізації покладених на Раду повноважень у здійсненні державної регуляторної політики;</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підготовки експертних висновків щодо регуляторного впливу внесених проектів.</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rPr>
      </w:pPr>
      <w:r>
        <w:rPr>
          <w:rFonts w:ascii="Times New Roman" w:cs="Times New Roman" w:hAnsi="Times New Roman"/>
          <w:sz w:val="28"/>
          <w:szCs w:val="28"/>
        </w:rPr>
      </w:r>
    </w:p>
    <w:p>
      <w:pPr>
        <w:pStyle w:val="style0"/>
        <w:widowControl w:val="false"/>
        <w:tabs>
          <w:tab w:leader="none" w:pos="851" w:val="left"/>
        </w:tabs>
        <w:spacing w:after="0" w:before="0" w:line="100" w:lineRule="atLeast"/>
        <w:ind w:hanging="0" w:left="0" w:right="-2"/>
        <w:contextualSpacing w:val="false"/>
        <w:jc w:val="both"/>
        <w:rPr>
          <w:rFonts w:ascii="Times New Roman" w:cs="Times New Roman" w:hAnsi="Times New Roman"/>
          <w:b/>
          <w:bCs/>
          <w:sz w:val="28"/>
          <w:szCs w:val="28"/>
          <w:lang w:val="uk-UA"/>
        </w:rPr>
      </w:pPr>
      <w:r>
        <w:rPr>
          <w:rFonts w:ascii="Times New Roman" w:cs="Times New Roman" w:hAnsi="Times New Roman"/>
          <w:b/>
          <w:bCs/>
          <w:sz w:val="28"/>
          <w:szCs w:val="28"/>
          <w:lang w:val="uk-UA"/>
        </w:rPr>
      </w:r>
    </w:p>
    <w:p>
      <w:pPr>
        <w:pStyle w:val="style0"/>
        <w:widowControl w:val="false"/>
        <w:tabs>
          <w:tab w:leader="none" w:pos="851" w:val="left"/>
        </w:tabs>
        <w:spacing w:after="0" w:before="0" w:line="100" w:lineRule="atLeast"/>
        <w:ind w:hanging="0" w:left="57" w:right="-2"/>
        <w:contextualSpacing w:val="false"/>
        <w:jc w:val="both"/>
        <w:rPr>
          <w:rFonts w:ascii="Times New Roman" w:cs="Times New Roman" w:hAnsi="Times New Roman"/>
          <w:b/>
          <w:color w:val="000000"/>
          <w:sz w:val="28"/>
          <w:szCs w:val="28"/>
          <w:lang w:val="uk-UA"/>
        </w:rPr>
      </w:pPr>
      <w:r>
        <w:rPr>
          <w:rFonts w:ascii="Times New Roman" w:cs="Times New Roman" w:hAnsi="Times New Roman"/>
          <w:b/>
          <w:bCs/>
          <w:sz w:val="28"/>
          <w:szCs w:val="28"/>
          <w:lang w:val="uk-UA"/>
        </w:rPr>
        <w:tab/>
        <w:t xml:space="preserve"> Стаття 27. </w:t>
      </w:r>
      <w:r>
        <w:rPr>
          <w:rFonts w:ascii="Times New Roman" w:cs="Times New Roman" w:hAnsi="Times New Roman"/>
          <w:b/>
          <w:sz w:val="28"/>
          <w:szCs w:val="28"/>
          <w:lang w:val="uk-UA"/>
        </w:rPr>
        <w:t xml:space="preserve">Постійна депутатська комісія </w:t>
      </w:r>
      <w:r>
        <w:rPr>
          <w:rFonts w:ascii="Times New Roman" w:cs="Times New Roman" w:hAnsi="Times New Roman"/>
          <w:b/>
          <w:color w:val="000000"/>
          <w:sz w:val="28"/>
          <w:szCs w:val="28"/>
          <w:lang w:val="uk-UA"/>
        </w:rPr>
        <w:t>з питань майна комунальної власності та приватизації</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1. До компетенції комісії як ініціатора аналізу і розгляду питань у встановленому цим Положенням і Регламентом порядку відносяться:</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а)</w:t>
        <w:tab/>
      </w:r>
      <w:r>
        <w:rPr>
          <w:rFonts w:ascii="Times New Roman" w:cs="Times New Roman" w:hAnsi="Times New Roman"/>
          <w:i/>
          <w:iCs/>
          <w:sz w:val="28"/>
          <w:szCs w:val="28"/>
          <w:lang w:val="uk-UA"/>
        </w:rPr>
        <w:t>ініціювання розгляду питань Радою</w:t>
      </w:r>
      <w:r>
        <w:rPr>
          <w:rFonts w:ascii="Times New Roman" w:cs="Times New Roman" w:hAnsi="Times New Roman"/>
          <w:sz w:val="28"/>
          <w:szCs w:val="28"/>
          <w:lang w:val="uk-UA"/>
        </w:rPr>
        <w:t>:</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xml:space="preserve">-  щодо володіння, використання та розпорядження об’єктами комунальної власності;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xml:space="preserve">-  щодо забезпечення обліку, проведення інвентаризації об’єктів комунальної власті та контролю за їх цільовим використанням;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щодо питання створення, реорганізації та ліквідації комунальних підприємств, установ та організацій;</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інших питань в межах напрямків діяльності та функціональної спрямованості комісії;</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б)</w:t>
        <w:tab/>
      </w:r>
      <w:r>
        <w:rPr>
          <w:rFonts w:ascii="Times New Roman" w:cs="Times New Roman" w:hAnsi="Times New Roman"/>
          <w:i/>
          <w:iCs/>
          <w:sz w:val="28"/>
          <w:szCs w:val="28"/>
          <w:lang w:val="uk-UA"/>
        </w:rPr>
        <w:t>попередній розгляд питань</w:t>
      </w:r>
      <w:r>
        <w:rPr>
          <w:rFonts w:ascii="Times New Roman" w:cs="Times New Roman" w:hAnsi="Times New Roman"/>
          <w:sz w:val="28"/>
          <w:szCs w:val="28"/>
          <w:lang w:val="uk-UA"/>
        </w:rPr>
        <w:t>:</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про доцільність, порядок, умови оренди, приватизації та відчуження об’єктів комунальної власності;</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eastAsia="ru-RU" w:val="uk-UA"/>
        </w:rPr>
      </w:pPr>
      <w:r>
        <w:rPr>
          <w:rFonts w:ascii="Times New Roman" w:cs="Times New Roman" w:hAnsi="Times New Roman"/>
          <w:sz w:val="28"/>
          <w:szCs w:val="28"/>
          <w:lang w:val="uk-UA"/>
        </w:rPr>
        <w:t xml:space="preserve">- </w:t>
      </w:r>
      <w:r>
        <w:rPr>
          <w:rFonts w:ascii="Times New Roman" w:cs="Times New Roman" w:hAnsi="Times New Roman"/>
          <w:color w:val="000000"/>
          <w:spacing w:val="1"/>
          <w:sz w:val="28"/>
          <w:szCs w:val="28"/>
          <w:lang w:eastAsia="ru-RU" w:val="uk-UA"/>
        </w:rPr>
        <w:t xml:space="preserve">щодо володіння, користування і розпорядження майном </w:t>
      </w:r>
      <w:r>
        <w:rPr>
          <w:rFonts w:ascii="Times New Roman" w:cs="Times New Roman" w:hAnsi="Times New Roman"/>
          <w:color w:val="000000"/>
          <w:spacing w:val="3"/>
          <w:sz w:val="28"/>
          <w:szCs w:val="28"/>
          <w:lang w:eastAsia="ru-RU" w:val="uk-UA"/>
        </w:rPr>
        <w:t xml:space="preserve">територіальної громади, а також майновими правами підприємств, установ і </w:t>
      </w:r>
      <w:r>
        <w:rPr>
          <w:rFonts w:ascii="Times New Roman" w:cs="Times New Roman" w:hAnsi="Times New Roman"/>
          <w:color w:val="000000"/>
          <w:spacing w:val="1"/>
          <w:sz w:val="28"/>
          <w:szCs w:val="28"/>
          <w:lang w:eastAsia="ru-RU" w:val="uk-UA"/>
        </w:rPr>
        <w:t>організацій комунальної власності територіальної громади міста,</w:t>
        <w:br/>
        <w:t xml:space="preserve">        </w:t>
      </w:r>
      <w:r>
        <w:rPr>
          <w:rFonts w:ascii="Times New Roman" w:cs="Times New Roman" w:hAnsi="Times New Roman"/>
          <w:color w:val="000000"/>
          <w:sz w:val="28"/>
          <w:szCs w:val="28"/>
          <w:lang w:eastAsia="ru-RU" w:val="uk-UA"/>
        </w:rPr>
        <w:t xml:space="preserve"> </w:t>
      </w:r>
      <w:r>
        <w:rPr>
          <w:rFonts w:ascii="Times New Roman" w:cs="Times New Roman" w:hAnsi="Times New Roman"/>
          <w:color w:val="000000"/>
          <w:spacing w:val="2"/>
          <w:sz w:val="28"/>
          <w:szCs w:val="28"/>
          <w:lang w:eastAsia="ru-RU" w:val="uk-UA"/>
        </w:rPr>
        <w:t xml:space="preserve">-  про підготовку висновків і пропозицій щодо ефективності володіння, використання і управління майном і </w:t>
      </w:r>
      <w:r>
        <w:rPr>
          <w:rFonts w:ascii="Times New Roman" w:cs="Times New Roman" w:hAnsi="Times New Roman"/>
          <w:color w:val="000000"/>
          <w:spacing w:val="5"/>
          <w:sz w:val="28"/>
          <w:szCs w:val="28"/>
          <w:lang w:eastAsia="ru-RU" w:val="uk-UA"/>
        </w:rPr>
        <w:t>майновими  правами  територіальної  громади  міста Мелітополя,</w:t>
      </w:r>
      <w:r>
        <w:rPr>
          <w:rFonts w:ascii="Times New Roman" w:cs="Times New Roman" w:hAnsi="Times New Roman"/>
          <w:sz w:val="28"/>
          <w:szCs w:val="28"/>
          <w:lang w:eastAsia="ru-RU" w:val="uk-UA"/>
        </w:rPr>
        <w:t xml:space="preserve"> передачі комунального майна до державної власності та прийняття майна до комунальної власності;</w:t>
      </w:r>
    </w:p>
    <w:p>
      <w:pPr>
        <w:pStyle w:val="style0"/>
        <w:widowControl w:val="false"/>
        <w:shd w:fill="FFFFFF" w:val="clear"/>
        <w:tabs>
          <w:tab w:leader="none" w:pos="648" w:val="left"/>
        </w:tabs>
        <w:spacing w:after="0" w:before="0" w:line="317" w:lineRule="exact"/>
        <w:ind w:firstLine="720" w:left="0" w:right="-5"/>
        <w:contextualSpacing w:val="false"/>
        <w:jc w:val="both"/>
        <w:rPr>
          <w:rFonts w:ascii="Times New Roman" w:cs="Times New Roman" w:hAnsi="Times New Roman"/>
          <w:sz w:val="28"/>
          <w:szCs w:val="28"/>
          <w:lang w:eastAsia="ru-RU" w:val="uk-UA"/>
        </w:rPr>
      </w:pPr>
      <w:r>
        <w:rPr>
          <w:rFonts w:ascii="Times New Roman" w:cs="Times New Roman" w:hAnsi="Times New Roman"/>
          <w:sz w:val="28"/>
          <w:szCs w:val="28"/>
          <w:lang w:eastAsia="ru-RU" w:val="uk-UA"/>
        </w:rPr>
        <w:t xml:space="preserve">-   щодо проектів рішень про затвердження відповідно до законодавства Методики розрахунку, порядку використання орендної плати за користування об'єктами права комунальної власності  територіальної громади м. Мелітополя, надання пільг з орендної плати, </w:t>
      </w:r>
      <w:r>
        <w:rPr>
          <w:rFonts w:ascii="Times New Roman" w:cs="Times New Roman" w:hAnsi="Times New Roman"/>
          <w:sz w:val="28"/>
          <w:szCs w:val="28"/>
          <w:lang w:eastAsia="ru-RU"/>
        </w:rPr>
        <w:t>Порядк</w:t>
      </w:r>
      <w:r>
        <w:rPr>
          <w:rFonts w:ascii="Times New Roman" w:cs="Times New Roman" w:hAnsi="Times New Roman"/>
          <w:sz w:val="28"/>
          <w:szCs w:val="28"/>
          <w:lang w:eastAsia="ru-RU" w:val="uk-UA"/>
        </w:rPr>
        <w:t>у</w:t>
      </w:r>
      <w:r>
        <w:rPr>
          <w:rFonts w:ascii="Times New Roman" w:cs="Times New Roman" w:hAnsi="Times New Roman"/>
          <w:sz w:val="28"/>
          <w:szCs w:val="28"/>
          <w:lang w:eastAsia="ru-RU"/>
        </w:rPr>
        <w:t xml:space="preserve"> передачі в оренду та проведення конкурсу щодо передачі в оренду майна комунальної власност</w:t>
      </w:r>
      <w:r>
        <w:rPr>
          <w:rFonts w:ascii="Times New Roman" w:cs="Times New Roman" w:hAnsi="Times New Roman"/>
          <w:sz w:val="28"/>
          <w:szCs w:val="28"/>
          <w:lang w:eastAsia="ru-RU" w:val="uk-UA"/>
        </w:rPr>
        <w:t xml:space="preserve">і, </w:t>
      </w:r>
      <w:r>
        <w:rPr>
          <w:rFonts w:ascii="Times New Roman" w:cs="Times New Roman" w:hAnsi="Times New Roman"/>
          <w:sz w:val="28"/>
          <w:szCs w:val="28"/>
          <w:lang w:eastAsia="ru-RU"/>
        </w:rPr>
        <w:t>Порядк</w:t>
      </w:r>
      <w:r>
        <w:rPr>
          <w:rFonts w:ascii="Times New Roman" w:cs="Times New Roman" w:hAnsi="Times New Roman"/>
          <w:sz w:val="28"/>
          <w:szCs w:val="28"/>
          <w:lang w:eastAsia="ru-RU" w:val="uk-UA"/>
        </w:rPr>
        <w:t>у</w:t>
      </w:r>
      <w:r>
        <w:rPr>
          <w:rFonts w:ascii="Times New Roman" w:cs="Times New Roman" w:hAnsi="Times New Roman"/>
          <w:sz w:val="28"/>
          <w:szCs w:val="28"/>
          <w:lang w:eastAsia="ru-RU"/>
        </w:rPr>
        <w:t xml:space="preserve"> проведення конкурсу щодо продажу майна територіальної громади</w:t>
      </w:r>
      <w:r>
        <w:rPr>
          <w:rFonts w:ascii="Times New Roman" w:cs="Times New Roman" w:hAnsi="Times New Roman"/>
          <w:sz w:val="28"/>
          <w:szCs w:val="28"/>
          <w:lang w:eastAsia="ru-RU" w:val="uk-UA"/>
        </w:rPr>
        <w:t xml:space="preserve">, </w:t>
      </w:r>
      <w:r>
        <w:rPr>
          <w:rFonts w:ascii="Times New Roman" w:cs="Times New Roman" w:hAnsi="Times New Roman"/>
          <w:sz w:val="28"/>
          <w:szCs w:val="28"/>
          <w:lang w:eastAsia="ru-RU"/>
        </w:rPr>
        <w:t>Порядк</w:t>
      </w:r>
      <w:r>
        <w:rPr>
          <w:rFonts w:ascii="Times New Roman" w:cs="Times New Roman" w:hAnsi="Times New Roman"/>
          <w:sz w:val="28"/>
          <w:szCs w:val="28"/>
          <w:lang w:eastAsia="ru-RU" w:val="uk-UA"/>
        </w:rPr>
        <w:t>у</w:t>
      </w:r>
      <w:r>
        <w:rPr>
          <w:rFonts w:ascii="Times New Roman" w:cs="Times New Roman" w:hAnsi="Times New Roman"/>
          <w:sz w:val="28"/>
          <w:szCs w:val="28"/>
          <w:lang w:eastAsia="ru-RU"/>
        </w:rPr>
        <w:t xml:space="preserve"> надання орендарю згоди на здійснення невід’ємних поліпшень орендованого майна</w:t>
      </w:r>
      <w:r>
        <w:rPr>
          <w:rFonts w:ascii="Times New Roman" w:cs="Times New Roman" w:hAnsi="Times New Roman"/>
          <w:sz w:val="28"/>
          <w:szCs w:val="28"/>
          <w:lang w:eastAsia="ru-RU" w:val="uk-UA"/>
        </w:rPr>
        <w:t xml:space="preserve">, </w:t>
      </w:r>
      <w:r>
        <w:rPr>
          <w:rFonts w:ascii="Times New Roman" w:cs="Courier New" w:hAnsi="Times New Roman"/>
          <w:color w:val="000000"/>
          <w:sz w:val="28"/>
          <w:szCs w:val="28"/>
          <w:lang w:eastAsia="ru-RU" w:val="uk-UA"/>
        </w:rPr>
        <w:t>Порядку списання основних засобів з балансів підприємств, установ та організацій комунальної власності територіальної громади м. Мелітополя,</w:t>
      </w:r>
      <w:r>
        <w:rPr>
          <w:rFonts w:ascii="Times New Roman" w:cs="Times New Roman" w:hAnsi="Times New Roman"/>
          <w:sz w:val="28"/>
          <w:szCs w:val="28"/>
          <w:lang w:eastAsia="ru-RU" w:val="uk-UA"/>
        </w:rPr>
        <w:t xml:space="preserve"> порядку та умов передачі комунального  майна у тимчасове короткострокове платне користування, підготовка інших регуляторних актів з питань, віднесених до компетенції комісії;</w:t>
      </w:r>
    </w:p>
    <w:p>
      <w:pPr>
        <w:pStyle w:val="style0"/>
        <w:widowControl w:val="false"/>
        <w:shd w:fill="FFFFFF" w:val="clear"/>
        <w:tabs>
          <w:tab w:leader="none" w:pos="648" w:val="left"/>
        </w:tabs>
        <w:spacing w:after="0" w:before="0" w:line="317" w:lineRule="exact"/>
        <w:ind w:firstLine="720" w:left="0" w:right="-5"/>
        <w:contextualSpacing w:val="false"/>
        <w:jc w:val="both"/>
        <w:rPr>
          <w:rFonts w:ascii="Times New Roman" w:cs="Times New Roman" w:hAnsi="Times New Roman"/>
          <w:sz w:val="28"/>
          <w:szCs w:val="28"/>
          <w:lang w:eastAsia="ru-RU" w:val="uk-UA"/>
        </w:rPr>
      </w:pPr>
      <w:r>
        <w:rPr>
          <w:rFonts w:ascii="Times New Roman" w:cs="Times New Roman" w:hAnsi="Times New Roman"/>
          <w:sz w:val="28"/>
          <w:szCs w:val="28"/>
          <w:lang w:eastAsia="ru-RU" w:val="uk-UA"/>
        </w:rPr>
        <w:t>-  щодо підготовки та внесення на розгляд Ради проектів рішень про затвердження відповідно до законодавства Положення про управління комунальною власністю Мелітопольської міської ради,  Положення про комісію з укладання та переукладання договорів оренди майна комунальної власності територіальної громади м. Мелітополя, Положення про конкурсну комісію на право оренди майна комунальної власності територіальної громади м. Мелітополя, Положення про комісію з проведення конкурсу щодо продажу майна територіальної громади, Положення про комісію з надання орендарю згоди на здійснення невід’ємних поліпшень орендованого майна, Положення про комісію з відбору суб’єктів оціночної діяльності, залучених для оцінки майна комунальної власності м. Мелітополя, інших регуляторних актів з питань, віднесених до компетенції комісії;</w:t>
      </w:r>
    </w:p>
    <w:p>
      <w:pPr>
        <w:pStyle w:val="style0"/>
        <w:widowControl w:val="false"/>
        <w:shd w:fill="FFFFFF" w:val="clear"/>
        <w:tabs>
          <w:tab w:leader="none" w:pos="648" w:val="left"/>
        </w:tabs>
        <w:spacing w:after="0" w:before="0" w:line="317" w:lineRule="exact"/>
        <w:ind w:firstLine="720" w:left="0" w:right="-5"/>
        <w:contextualSpacing w:val="false"/>
        <w:jc w:val="both"/>
        <w:rPr>
          <w:rFonts w:ascii="Times New Roman" w:cs="Times New Roman" w:hAnsi="Times New Roman"/>
          <w:sz w:val="28"/>
          <w:szCs w:val="28"/>
          <w:lang w:eastAsia="ru-RU" w:val="uk-UA"/>
        </w:rPr>
      </w:pPr>
      <w:r>
        <w:rPr>
          <w:rFonts w:ascii="Times New Roman" w:cs="Times New Roman" w:hAnsi="Times New Roman"/>
          <w:sz w:val="28"/>
          <w:szCs w:val="28"/>
          <w:lang w:eastAsia="ru-RU" w:val="uk-UA"/>
        </w:rPr>
        <w:t>- щодо підготовки та внесення на розгляд Ради проектів рішень про затвердження відповідно до законодавства кількісного та персонального складу комісії з укладання та переукладання договорів оренди майна комунальної власності територіальної громади м. Мелітополя, кількісного та персонального складу конкурсної комісії на право оренди майна комунальної власності територіальної громади м. Мелітополя, кількісного та персонального складу комісії з проведення конкурсу щодо продажу майна територіальної громади, кількісного та персонального складу комісії з надання орендарю згоди на здійснення невід’ємних поліпшень орендованого майна, кількісного та персонального складу комісії з відбору суб’єктів оціночної діяльності, залучених для оцінки майна комунальної власності м. Мелітополя;</w:t>
      </w:r>
    </w:p>
    <w:p>
      <w:pPr>
        <w:pStyle w:val="style0"/>
        <w:widowControl w:val="false"/>
        <w:shd w:fill="FFFFFF" w:val="clear"/>
        <w:tabs>
          <w:tab w:leader="none" w:pos="648" w:val="left"/>
        </w:tabs>
        <w:spacing w:after="0" w:before="0" w:line="317" w:lineRule="exact"/>
        <w:ind w:firstLine="720" w:left="0" w:right="-5"/>
        <w:contextualSpacing w:val="false"/>
        <w:jc w:val="both"/>
        <w:rPr>
          <w:rFonts w:ascii="Times New Roman" w:cs="Times New Roman" w:hAnsi="Times New Roman"/>
          <w:sz w:val="28"/>
          <w:szCs w:val="28"/>
          <w:lang w:eastAsia="ru-RU" w:val="uk-UA"/>
        </w:rPr>
      </w:pPr>
      <w:r>
        <w:rPr>
          <w:rFonts w:ascii="Times New Roman" w:cs="Times New Roman" w:hAnsi="Times New Roman"/>
          <w:sz w:val="28"/>
          <w:szCs w:val="28"/>
          <w:lang w:eastAsia="ru-RU" w:val="uk-UA"/>
        </w:rPr>
        <w:t xml:space="preserve">- щодо проектів рішень Ради про відчуження, відповідно до закону, або передачу під заставу об'єктів права комунальної власності,  </w:t>
      </w:r>
      <w:r>
        <w:rPr>
          <w:rFonts w:ascii="Times New Roman" w:cs="Times New Roman" w:hAnsi="Times New Roman"/>
          <w:color w:val="000000"/>
          <w:sz w:val="28"/>
          <w:szCs w:val="28"/>
          <w:lang w:eastAsia="ru-RU" w:val="uk-UA"/>
        </w:rPr>
        <w:t xml:space="preserve"> програми приватизації, переліку об'єктів, </w:t>
      </w:r>
      <w:r>
        <w:rPr>
          <w:rFonts w:ascii="Times New Roman" w:cs="Times New Roman" w:hAnsi="Times New Roman"/>
          <w:i/>
          <w:iCs/>
          <w:color w:val="000000"/>
          <w:sz w:val="28"/>
          <w:szCs w:val="28"/>
          <w:lang w:eastAsia="ru-RU" w:val="uk-UA"/>
        </w:rPr>
        <w:t xml:space="preserve"> </w:t>
      </w:r>
      <w:r>
        <w:rPr>
          <w:rFonts w:ascii="Times New Roman" w:cs="Times New Roman" w:hAnsi="Times New Roman"/>
          <w:color w:val="000000"/>
          <w:sz w:val="28"/>
          <w:szCs w:val="28"/>
          <w:lang w:eastAsia="ru-RU" w:val="uk-UA"/>
        </w:rPr>
        <w:t xml:space="preserve">що   не </w:t>
      </w:r>
      <w:r>
        <w:rPr>
          <w:rFonts w:ascii="Times New Roman" w:cs="Times New Roman" w:hAnsi="Times New Roman"/>
          <w:color w:val="000000"/>
          <w:spacing w:val="1"/>
          <w:sz w:val="28"/>
          <w:szCs w:val="28"/>
          <w:lang w:eastAsia="ru-RU" w:val="uk-UA"/>
        </w:rPr>
        <w:t xml:space="preserve">підлягають   приватизації,      будь-яких   інших   питань приватизації та продажу </w:t>
      </w:r>
      <w:r>
        <w:rPr>
          <w:rFonts w:ascii="Times New Roman" w:cs="Times New Roman" w:hAnsi="Times New Roman"/>
          <w:color w:val="000000"/>
          <w:sz w:val="28"/>
          <w:szCs w:val="28"/>
          <w:lang w:eastAsia="ru-RU" w:val="uk-UA"/>
        </w:rPr>
        <w:t xml:space="preserve">комунального майна, </w:t>
      </w:r>
      <w:r>
        <w:rPr>
          <w:rFonts w:ascii="Times New Roman" w:cs="Times New Roman" w:hAnsi="Times New Roman"/>
          <w:sz w:val="28"/>
          <w:szCs w:val="28"/>
          <w:lang w:eastAsia="ru-RU" w:val="uk-UA"/>
        </w:rPr>
        <w:t>а також придбання об'єктів права комунальної власності в установленому законодавством порядку;</w:t>
      </w:r>
    </w:p>
    <w:p>
      <w:pPr>
        <w:pStyle w:val="style0"/>
        <w:widowControl w:val="false"/>
        <w:shd w:fill="FFFFFF" w:val="clear"/>
        <w:tabs>
          <w:tab w:leader="none" w:pos="648" w:val="left"/>
        </w:tabs>
        <w:spacing w:after="0" w:before="0" w:line="317" w:lineRule="exact"/>
        <w:ind w:firstLine="720" w:left="0" w:right="-5"/>
        <w:contextualSpacing w:val="false"/>
        <w:jc w:val="both"/>
        <w:rPr>
          <w:rFonts w:ascii="Times New Roman" w:cs="Times New Roman" w:hAnsi="Times New Roman"/>
          <w:color w:val="000000"/>
          <w:sz w:val="28"/>
          <w:szCs w:val="28"/>
          <w:lang w:eastAsia="ru-RU" w:val="uk-UA"/>
        </w:rPr>
      </w:pPr>
      <w:r>
        <w:rPr>
          <w:rFonts w:ascii="Times New Roman" w:cs="Times New Roman" w:hAnsi="Times New Roman"/>
          <w:sz w:val="28"/>
          <w:szCs w:val="28"/>
          <w:lang w:eastAsia="ru-RU" w:val="uk-UA"/>
        </w:rPr>
        <w:t xml:space="preserve">- щодо </w:t>
      </w:r>
      <w:r>
        <w:rPr>
          <w:rFonts w:ascii="Times New Roman" w:cs="Times New Roman" w:hAnsi="Times New Roman"/>
          <w:color w:val="000000"/>
          <w:sz w:val="28"/>
          <w:szCs w:val="28"/>
          <w:lang w:eastAsia="ru-RU" w:val="uk-UA"/>
        </w:rPr>
        <w:t xml:space="preserve">обліку, реєстрації та списання комунального нерухомого  і рухомого майна територіальної громади міста, подальшого використання об’єктів незавершеного будівництва, обліку, реєстрації та наступного використання безхазяйного майна; </w:t>
      </w:r>
    </w:p>
    <w:p>
      <w:pPr>
        <w:pStyle w:val="style0"/>
        <w:widowControl w:val="false"/>
        <w:shd w:fill="FFFFFF" w:val="clear"/>
        <w:tabs>
          <w:tab w:leader="none" w:pos="648" w:val="left"/>
        </w:tabs>
        <w:spacing w:after="0" w:before="0" w:line="317" w:lineRule="exact"/>
        <w:ind w:firstLine="720" w:left="0" w:right="-5"/>
        <w:contextualSpacing w:val="false"/>
        <w:jc w:val="both"/>
        <w:rPr>
          <w:rFonts w:ascii="Times New Roman" w:cs="Times New Roman" w:hAnsi="Times New Roman"/>
          <w:sz w:val="28"/>
          <w:szCs w:val="28"/>
          <w:lang w:eastAsia="ru-RU" w:val="uk-UA"/>
        </w:rPr>
      </w:pPr>
      <w:r>
        <w:rPr>
          <w:rFonts w:ascii="Times New Roman" w:cs="Times New Roman" w:hAnsi="Times New Roman"/>
          <w:sz w:val="28"/>
          <w:szCs w:val="28"/>
          <w:lang w:eastAsia="ru-RU" w:val="uk-UA"/>
        </w:rPr>
        <w:t xml:space="preserve">- щодо вирішення питання подальшого використання майна ліквідованих підприємств комунальної власності; </w:t>
      </w:r>
    </w:p>
    <w:p>
      <w:pPr>
        <w:pStyle w:val="style0"/>
        <w:widowControl w:val="false"/>
        <w:shd w:fill="FFFFFF" w:val="clear"/>
        <w:tabs>
          <w:tab w:leader="none" w:pos="648" w:val="left"/>
        </w:tabs>
        <w:spacing w:after="0" w:before="0" w:line="317" w:lineRule="exact"/>
        <w:ind w:firstLine="720" w:left="0" w:right="-5"/>
        <w:contextualSpacing w:val="false"/>
        <w:jc w:val="both"/>
        <w:rPr>
          <w:rFonts w:ascii="Times New Roman" w:cs="Times New Roman" w:hAnsi="Times New Roman"/>
          <w:color w:val="000000"/>
          <w:spacing w:val="-1"/>
          <w:sz w:val="28"/>
          <w:szCs w:val="28"/>
          <w:lang w:eastAsia="ru-RU" w:val="uk-UA"/>
        </w:rPr>
      </w:pPr>
      <w:r>
        <w:rPr>
          <w:rFonts w:ascii="Times New Roman" w:cs="Times New Roman" w:hAnsi="Times New Roman"/>
          <w:color w:val="000000"/>
          <w:spacing w:val="3"/>
          <w:sz w:val="28"/>
          <w:szCs w:val="28"/>
          <w:lang w:eastAsia="ru-RU" w:val="uk-UA"/>
        </w:rPr>
        <w:t xml:space="preserve">- щодо контролю за виконанням  рішень Ради,  що стосуються    власності територіальної </w:t>
      </w:r>
      <w:r>
        <w:rPr>
          <w:rFonts w:ascii="Times New Roman" w:cs="Times New Roman" w:hAnsi="Times New Roman"/>
          <w:color w:val="000000"/>
          <w:spacing w:val="-1"/>
          <w:sz w:val="28"/>
          <w:szCs w:val="28"/>
          <w:lang w:eastAsia="ru-RU" w:val="uk-UA"/>
        </w:rPr>
        <w:t>громади міста;</w:t>
      </w:r>
    </w:p>
    <w:p>
      <w:pPr>
        <w:pStyle w:val="style0"/>
        <w:widowControl w:val="false"/>
        <w:shd w:fill="FFFFFF" w:val="clear"/>
        <w:tabs>
          <w:tab w:leader="none" w:pos="648" w:val="left"/>
        </w:tabs>
        <w:spacing w:after="0" w:before="0" w:line="317" w:lineRule="exact"/>
        <w:ind w:firstLine="720" w:left="0" w:right="-5"/>
        <w:contextualSpacing w:val="false"/>
        <w:jc w:val="both"/>
        <w:rPr>
          <w:rFonts w:ascii="Times New Roman" w:cs="Times New Roman" w:hAnsi="Times New Roman"/>
          <w:sz w:val="28"/>
          <w:szCs w:val="28"/>
          <w:lang w:val="uk-UA"/>
        </w:rPr>
      </w:pPr>
      <w:r>
        <w:rPr>
          <w:rFonts w:ascii="Times New Roman" w:cs="Times New Roman" w:hAnsi="Times New Roman"/>
          <w:color w:val="000000"/>
          <w:spacing w:val="-1"/>
          <w:sz w:val="28"/>
          <w:szCs w:val="28"/>
          <w:lang w:eastAsia="ru-RU" w:val="uk-UA"/>
        </w:rPr>
        <w:t xml:space="preserve">- щодо контролю за діяльністю </w:t>
      </w:r>
      <w:r>
        <w:rPr>
          <w:rFonts w:ascii="Times New Roman" w:cs="Times New Roman" w:hAnsi="Times New Roman"/>
          <w:color w:val="000000"/>
          <w:spacing w:val="3"/>
          <w:sz w:val="28"/>
          <w:szCs w:val="28"/>
          <w:lang w:eastAsia="ru-RU" w:val="uk-UA"/>
        </w:rPr>
        <w:t xml:space="preserve">підприємств, установ і </w:t>
      </w:r>
      <w:r>
        <w:rPr>
          <w:rFonts w:ascii="Times New Roman" w:cs="Times New Roman" w:hAnsi="Times New Roman"/>
          <w:color w:val="000000"/>
          <w:spacing w:val="1"/>
          <w:sz w:val="28"/>
          <w:szCs w:val="28"/>
          <w:lang w:eastAsia="ru-RU" w:val="uk-UA"/>
        </w:rPr>
        <w:t>організацій комунальної власності територіальної громади міста;</w:t>
        <w:br/>
        <w:t xml:space="preserve">        </w:t>
      </w:r>
      <w:r>
        <w:rPr>
          <w:rFonts w:ascii="Times New Roman" w:cs="Times New Roman" w:hAnsi="Times New Roman"/>
          <w:sz w:val="28"/>
          <w:szCs w:val="28"/>
          <w:lang w:val="uk-UA"/>
        </w:rPr>
        <w:t xml:space="preserve">-  про передачу іншим суб’єктам окремих повноважень для управління комунальним майном;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про придбання майна у комунальну власність;</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інших питань в межах напрямків діяльності та функціональної спрямованості комісії;</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xml:space="preserve">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в)</w:t>
        <w:tab/>
      </w:r>
      <w:r>
        <w:rPr>
          <w:rFonts w:ascii="Times New Roman" w:cs="Times New Roman" w:hAnsi="Times New Roman"/>
          <w:i/>
          <w:iCs/>
          <w:sz w:val="28"/>
          <w:szCs w:val="28"/>
          <w:lang w:val="uk-UA"/>
        </w:rPr>
        <w:t>вивчення діяльності органів Ради, підприємств, установ, організацій</w:t>
      </w:r>
      <w:r>
        <w:rPr>
          <w:rFonts w:ascii="Times New Roman" w:cs="Times New Roman" w:hAnsi="Times New Roman"/>
          <w:sz w:val="28"/>
          <w:szCs w:val="28"/>
          <w:lang w:val="uk-UA"/>
        </w:rPr>
        <w:t xml:space="preserve">: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аналіз використання нежитлових приміщень, будівель, споруд, які знаходяться у комунальної власності;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аналіз виконання умов договорів оренди об’єктів комунальної власності та внесення рекомендацій щодо подовження або припинення (розірвання) даних договорів оренди;</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аналіз виконання умов договорів про приватизацію об’єктів комунальної власності;</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інших питань в межах напрямків діяльності та функціональної спрямованості комісії;</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г)</w:t>
        <w:tab/>
      </w:r>
      <w:r>
        <w:rPr>
          <w:rFonts w:ascii="Times New Roman" w:cs="Times New Roman" w:hAnsi="Times New Roman"/>
          <w:i/>
          <w:iCs/>
          <w:sz w:val="28"/>
          <w:szCs w:val="28"/>
          <w:lang w:val="uk-UA"/>
        </w:rPr>
        <w:t>підготовка інформації для депутатів</w:t>
      </w:r>
      <w:r>
        <w:rPr>
          <w:rFonts w:ascii="Times New Roman" w:cs="Times New Roman" w:hAnsi="Times New Roman"/>
          <w:sz w:val="28"/>
          <w:szCs w:val="28"/>
          <w:lang w:val="uk-UA"/>
        </w:rPr>
        <w:t xml:space="preserve">: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про хід виконання міської програми приватизації – не рідше, ніж один раз на півріччя;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про забезпечення повноти обліку та ефективність використання об’єктів комунальної власності – один раз на півріччя;</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інша інформація в межах напрямків діяльності та функціональної спрямованості комісії.</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b/>
          <w:color w:val="000000"/>
          <w:sz w:val="28"/>
          <w:szCs w:val="28"/>
          <w:lang w:val="uk-UA"/>
        </w:rPr>
      </w:pPr>
      <w:r>
        <w:rPr>
          <w:rFonts w:ascii="Times New Roman" w:cs="Times New Roman" w:hAnsi="Times New Roman"/>
          <w:b/>
          <w:sz w:val="28"/>
          <w:szCs w:val="28"/>
          <w:lang w:val="uk-UA"/>
        </w:rPr>
        <w:t xml:space="preserve"> </w:t>
      </w:r>
      <w:r>
        <w:rPr>
          <w:rFonts w:ascii="Times New Roman" w:cs="Times New Roman" w:hAnsi="Times New Roman"/>
          <w:b/>
          <w:sz w:val="28"/>
          <w:szCs w:val="28"/>
          <w:lang w:val="uk-UA"/>
        </w:rPr>
        <w:t xml:space="preserve">Стаття 28. Постійна депутатська комісія </w:t>
      </w:r>
      <w:r>
        <w:rPr>
          <w:rFonts w:ascii="Times New Roman" w:cs="Times New Roman" w:hAnsi="Times New Roman"/>
          <w:b/>
          <w:color w:val="000000"/>
          <w:sz w:val="28"/>
          <w:szCs w:val="28"/>
          <w:lang w:val="uk-UA"/>
        </w:rPr>
        <w:t>з питань запобігання корупції, місцевого самоврядування, розвитку підприємництва, торгівлі та послуг</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b/>
          <w:sz w:val="28"/>
          <w:szCs w:val="28"/>
          <w:lang w:val="uk-UA"/>
        </w:rPr>
      </w:pPr>
      <w:r>
        <w:rPr>
          <w:rFonts w:ascii="Times New Roman" w:cs="Times New Roman" w:hAnsi="Times New Roman"/>
          <w:b/>
          <w:sz w:val="28"/>
          <w:szCs w:val="28"/>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До компетенції комісії як ініціатора аналізу і розгляду питань у встановленому цим Положенням і Регламентом порядку відносяться:</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а)</w:t>
        <w:tab/>
      </w:r>
      <w:r>
        <w:rPr>
          <w:rFonts w:ascii="Times New Roman" w:cs="Times New Roman" w:hAnsi="Times New Roman"/>
          <w:i/>
          <w:iCs/>
          <w:sz w:val="28"/>
          <w:szCs w:val="28"/>
          <w:lang w:val="uk-UA"/>
        </w:rPr>
        <w:t>ініціювання розгляду питань Радою</w:t>
      </w:r>
      <w:r>
        <w:rPr>
          <w:rFonts w:ascii="Times New Roman" w:cs="Times New Roman" w:hAnsi="Times New Roman"/>
          <w:sz w:val="28"/>
          <w:szCs w:val="28"/>
          <w:lang w:val="uk-UA"/>
        </w:rPr>
        <w:t>:</w:t>
      </w:r>
    </w:p>
    <w:p>
      <w:pPr>
        <w:pStyle w:val="style0"/>
        <w:widowControl w:val="false"/>
        <w:tabs>
          <w:tab w:leader="none" w:pos="851" w:val="left"/>
        </w:tabs>
        <w:spacing w:after="0" w:before="0" w:line="100" w:lineRule="atLeast"/>
        <w:ind w:firstLine="567" w:left="0"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щодо питань розвитку підприємництва;</w:t>
      </w:r>
    </w:p>
    <w:p>
      <w:pPr>
        <w:pStyle w:val="style0"/>
        <w:widowControl w:val="false"/>
        <w:tabs>
          <w:tab w:leader="none" w:pos="851" w:val="left"/>
        </w:tabs>
        <w:spacing w:after="0" w:before="0" w:line="100" w:lineRule="atLeast"/>
        <w:ind w:firstLine="567" w:left="0"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щодо розгляду скарг підприємців на рішення, дії або бездіяльність посадових осіб виконавчих органів Ради; </w:t>
      </w:r>
    </w:p>
    <w:p>
      <w:pPr>
        <w:pStyle w:val="style0"/>
        <w:widowControl w:val="false"/>
        <w:tabs>
          <w:tab w:leader="none" w:pos="851" w:val="left"/>
        </w:tabs>
        <w:spacing w:after="0" w:before="0" w:line="100" w:lineRule="atLeast"/>
        <w:ind w:firstLine="567" w:left="0"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щодо встановлення правил торгівлі на ринках, зокрема за порушення яких передбачена адміністративна відповідальність;</w:t>
      </w:r>
    </w:p>
    <w:p>
      <w:pPr>
        <w:pStyle w:val="style0"/>
        <w:widowControl w:val="false"/>
        <w:tabs>
          <w:tab w:leader="none" w:pos="851" w:val="left"/>
        </w:tabs>
        <w:spacing w:after="0" w:before="0" w:line="100" w:lineRule="atLeast"/>
        <w:ind w:firstLine="567" w:left="0"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щодо питань захисту прав споживачів;</w:t>
      </w:r>
    </w:p>
    <w:p>
      <w:pPr>
        <w:pStyle w:val="style0"/>
        <w:widowControl w:val="false"/>
        <w:tabs>
          <w:tab w:leader="none" w:pos="851" w:val="left"/>
        </w:tabs>
        <w:spacing w:after="0" w:before="0" w:line="100" w:lineRule="atLeast"/>
        <w:ind w:firstLine="567" w:left="0"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xml:space="preserve">- щодо підвищення ефективності управління споживчим ринком в місті й надання послуг населенню;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щодо інформування Ради з питань організації призову громадян на термінову військову й альтернативну служби, а також забезпечення вимог законодавства щодо розгляду звернень громадян;</w:t>
      </w:r>
    </w:p>
    <w:p>
      <w:pPr>
        <w:pStyle w:val="style0"/>
        <w:widowControl w:val="false"/>
        <w:spacing w:after="0" w:before="0" w:line="100" w:lineRule="atLeast"/>
        <w:ind w:firstLine="540" w:left="0"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щодо заходів з протидії корупції та контролю за дотримання</w:t>
      </w:r>
      <w:r>
        <w:rPr>
          <w:rFonts w:ascii="Times New Roman" w:cs="Times New Roman" w:hAnsi="Times New Roman"/>
          <w:sz w:val="28"/>
          <w:szCs w:val="28"/>
        </w:rPr>
        <w:t>м</w:t>
      </w:r>
      <w:r>
        <w:rPr>
          <w:rFonts w:ascii="Times New Roman" w:cs="Times New Roman" w:hAnsi="Times New Roman"/>
          <w:sz w:val="28"/>
          <w:szCs w:val="28"/>
          <w:lang w:val="uk-UA"/>
        </w:rPr>
        <w:t xml:space="preserve"> антикорупційного законодавства органами місцевого самоврядування, підприємствами, установами, організаціями, розташованими на території міста;</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щодо розробки, розгляду та затвердження рекомендованого до прийняття Радою проекту антикорупційної програми Ради;</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щодо проведення антикорупційної експертизи проектів та чинних актів (рішень) Ради та надання висновку щодо відповідності акту (рішення) антикорупційному законодавству;</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щодо питань підготовки, забезпечення та контролю за здійсненням заходів з запобігання корупції;</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щодо питання участі в інформаційному та науково-дослідному забезпеченні здійснення заходів із запобігання та виявлення корупції;</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щодо питання проведення організаційної та роз’яснювальної роботи із запобігання, виявлення і протидії корупції;</w:t>
      </w:r>
    </w:p>
    <w:p>
      <w:pPr>
        <w:pStyle w:val="style0"/>
        <w:widowControl w:val="false"/>
        <w:spacing w:after="0" w:before="0" w:line="100" w:lineRule="atLeast"/>
        <w:ind w:firstLine="540" w:left="0"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інших питань в межах напрямків діяльності та функціональної спрямованості комісії;</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б)</w:t>
        <w:tab/>
      </w:r>
      <w:r>
        <w:rPr>
          <w:rFonts w:ascii="Times New Roman" w:cs="Times New Roman" w:hAnsi="Times New Roman"/>
          <w:i/>
          <w:iCs/>
          <w:sz w:val="28"/>
          <w:szCs w:val="28"/>
          <w:lang w:val="uk-UA"/>
        </w:rPr>
        <w:t>попередній розгляд питань</w:t>
      </w:r>
      <w:r>
        <w:rPr>
          <w:rFonts w:ascii="Times New Roman" w:cs="Times New Roman" w:hAnsi="Times New Roman"/>
          <w:sz w:val="28"/>
          <w:szCs w:val="28"/>
          <w:lang w:val="uk-UA"/>
        </w:rPr>
        <w:t>:</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про функціонування дозвільної системи в галузі торгівлі, громадського харчування та побутового обслуговування населення;</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xml:space="preserve">-  про сприяння розвитку всіх форм торгівлі, громадського харчування та побутового обслуговування населення;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про організацію ярмарків, роботи місцевих ринків відповідно до чинного законодавства;</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аналіз діяльності підприємств, установ, організацій незалежно від форм власності із надання послуг населенню в рамках чинного законодавства;</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про плани і програми розвитку місцевого самоврядування;</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інших питань в межах напрямків діяльності та функціональної спрямованості комісії;</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в)</w:t>
        <w:tab/>
      </w:r>
      <w:r>
        <w:rPr>
          <w:rFonts w:ascii="Times New Roman" w:cs="Times New Roman" w:hAnsi="Times New Roman"/>
          <w:i/>
          <w:iCs/>
          <w:sz w:val="28"/>
          <w:szCs w:val="28"/>
          <w:lang w:val="uk-UA"/>
        </w:rPr>
        <w:t>вивчення діяльності органів Ради, підприємств, установ, організацій</w:t>
      </w:r>
      <w:r>
        <w:rPr>
          <w:rFonts w:ascii="Times New Roman" w:cs="Times New Roman" w:hAnsi="Times New Roman"/>
          <w:sz w:val="28"/>
          <w:szCs w:val="28"/>
          <w:lang w:val="uk-UA"/>
        </w:rPr>
        <w:t xml:space="preserve">: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аналіз діяльності управлінь та відділів Ради у сфері, віднесеній до компетенції цієї комісії;</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інших питань в межах напрямків діяльності та функціональної спрямованості комісії;</w:t>
      </w:r>
    </w:p>
    <w:p>
      <w:pPr>
        <w:pStyle w:val="style0"/>
        <w:widowControl w:val="false"/>
        <w:tabs>
          <w:tab w:leader="none" w:pos="851" w:val="left"/>
        </w:tabs>
        <w:spacing w:after="0" w:before="0" w:line="100" w:lineRule="atLeast"/>
        <w:ind w:hanging="0" w:left="0"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г)</w:t>
        <w:tab/>
      </w:r>
      <w:r>
        <w:rPr>
          <w:rFonts w:ascii="Times New Roman" w:cs="Times New Roman" w:hAnsi="Times New Roman"/>
          <w:i/>
          <w:iCs/>
          <w:sz w:val="28"/>
          <w:szCs w:val="28"/>
          <w:lang w:val="uk-UA"/>
        </w:rPr>
        <w:t>підготовка інформації для депутатів</w:t>
      </w:r>
      <w:r>
        <w:rPr>
          <w:rFonts w:ascii="Times New Roman" w:cs="Times New Roman" w:hAnsi="Times New Roman"/>
          <w:sz w:val="28"/>
          <w:szCs w:val="28"/>
          <w:lang w:val="uk-UA"/>
        </w:rPr>
        <w:t xml:space="preserve">: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про розвиток підприємництва в місті (кількість суб’єктів за сферами діяльності, кількість робочих місць тощо) – один раз на рік;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про стан розгляду й вирішення звернень підприємців з питань виконання рішень, дій або бездіяльності посадових осіб виконавчих органів Ради – один раз на півріччя;</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про стан розвитку законотворчості в питаннях місцевого самоврядування – в міру необхідності, але не рідше, ніж один раз на півріччя;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інша інформація в межах напрямків діяльності та функціональної спрямованості комісії.</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r>
    </w:p>
    <w:p>
      <w:pPr>
        <w:pStyle w:val="style0"/>
        <w:widowControl w:val="false"/>
        <w:tabs>
          <w:tab w:leader="none" w:pos="851" w:val="left"/>
        </w:tabs>
        <w:spacing w:after="0" w:before="0" w:line="100" w:lineRule="atLeast"/>
        <w:ind w:hanging="0" w:left="57" w:right="-2"/>
        <w:contextualSpacing w:val="false"/>
        <w:jc w:val="both"/>
        <w:rPr>
          <w:rFonts w:ascii="Times New Roman" w:cs="Times New Roman" w:hAnsi="Times New Roman"/>
          <w:b/>
          <w:bCs/>
          <w:sz w:val="28"/>
          <w:szCs w:val="28"/>
          <w:lang w:val="uk-UA"/>
        </w:rPr>
      </w:pPr>
      <w:r>
        <w:rPr>
          <w:rFonts w:ascii="Times New Roman" w:cs="Times New Roman" w:hAnsi="Times New Roman"/>
          <w:b/>
          <w:bCs/>
          <w:sz w:val="28"/>
          <w:szCs w:val="28"/>
          <w:lang w:val="uk-UA"/>
        </w:rPr>
        <w:tab/>
        <w:t xml:space="preserve"> Стаття 29. </w:t>
      </w:r>
      <w:r>
        <w:rPr>
          <w:rFonts w:ascii="Times New Roman" w:cs="Times New Roman" w:hAnsi="Times New Roman"/>
          <w:b/>
          <w:sz w:val="28"/>
          <w:szCs w:val="28"/>
          <w:lang w:val="uk-UA"/>
        </w:rPr>
        <w:t xml:space="preserve">Постійна депутатська комісія </w:t>
      </w:r>
      <w:r>
        <w:rPr>
          <w:rFonts w:ascii="Times New Roman" w:cs="Times New Roman" w:hAnsi="Times New Roman"/>
          <w:b/>
          <w:color w:val="000000"/>
          <w:sz w:val="28"/>
          <w:szCs w:val="28"/>
          <w:lang w:val="uk-UA"/>
        </w:rPr>
        <w:t>з питань</w:t>
      </w:r>
      <w:r>
        <w:rPr>
          <w:rFonts w:ascii="Times New Roman" w:cs="Times New Roman" w:hAnsi="Times New Roman"/>
          <w:b/>
          <w:bCs/>
          <w:sz w:val="28"/>
          <w:szCs w:val="28"/>
          <w:lang w:val="uk-UA"/>
        </w:rPr>
        <w:t xml:space="preserve"> охорони здоров’я, соціального захисту населення, освіти, науки, культури, туризму, сім’ї, молоді та спорту</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b/>
          <w:bCs/>
          <w:sz w:val="28"/>
          <w:szCs w:val="28"/>
          <w:lang w:val="uk-UA"/>
        </w:rPr>
      </w:pPr>
      <w:r>
        <w:rPr>
          <w:rFonts w:ascii="Times New Roman" w:cs="Times New Roman" w:hAnsi="Times New Roman"/>
          <w:b/>
          <w:bCs/>
          <w:sz w:val="28"/>
          <w:szCs w:val="28"/>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1.</w:t>
        <w:tab/>
        <w:t>До компетенції комісії як ініціатора аналізу і розгляду питань у встановленому цим Положенням і Регламентом відносяться:</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6"/>
          <w:szCs w:val="6"/>
          <w:lang w:val="uk-UA"/>
        </w:rPr>
      </w:pPr>
      <w:r>
        <w:rPr>
          <w:rFonts w:ascii="Times New Roman" w:cs="Times New Roman" w:hAnsi="Times New Roman"/>
          <w:sz w:val="6"/>
          <w:szCs w:val="6"/>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6"/>
          <w:szCs w:val="6"/>
          <w:lang w:val="uk-UA"/>
        </w:rPr>
      </w:pPr>
      <w:r>
        <w:rPr>
          <w:rFonts w:ascii="Times New Roman" w:cs="Times New Roman" w:hAnsi="Times New Roman"/>
          <w:sz w:val="6"/>
          <w:szCs w:val="6"/>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а)</w:t>
        <w:tab/>
      </w:r>
      <w:r>
        <w:rPr>
          <w:rFonts w:ascii="Times New Roman" w:cs="Times New Roman" w:hAnsi="Times New Roman"/>
          <w:i/>
          <w:iCs/>
          <w:sz w:val="28"/>
          <w:szCs w:val="28"/>
          <w:lang w:val="uk-UA"/>
        </w:rPr>
        <w:t>ініціювання розгляду питань Радою</w:t>
      </w:r>
      <w:r>
        <w:rPr>
          <w:rFonts w:ascii="Times New Roman" w:cs="Times New Roman" w:hAnsi="Times New Roman"/>
          <w:sz w:val="28"/>
          <w:szCs w:val="28"/>
          <w:lang w:val="uk-UA"/>
        </w:rPr>
        <w:t>:</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щодо цільових програм у сфері надання медичної допомоги, у сфері соціального захисту населення та праці, програм з питань залучення громадських організацій на конкурсній основі до реалізації молодіжної, сімейної, освітньої, наукової та гендерної політики, інших цільових програм з питань сфери діяльності комісії;</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щодо організації матеріально-технічного та фінансового забезпечення закладів охорони здоров’я, закладів освіти, культури, фізкультури, спорту, у тому числі з питань залучення додаткових коштів для цих організацій;</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щодо дотримання законодавства із забезпечення всього обсягу пільг населенню міста, у тому числі із забезпечення пільг у медичному обслуговуванні;</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xml:space="preserve">- щодо залучення додаткових коштів для підвищення гарантій соціального захисту населення міста, інших ресурсів для реалізації місцевої соціальної політики у сфері діяльності комісії;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щодо гендерної політики;</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щодо контролю реалізації законодавства з напрямків діяльності комісії;</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інших питань в межах напрямків діяльності та функціональної спрямованості комісії;</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6"/>
          <w:szCs w:val="6"/>
          <w:lang w:val="uk-UA"/>
        </w:rPr>
      </w:pPr>
      <w:r>
        <w:rPr>
          <w:rFonts w:ascii="Times New Roman" w:cs="Times New Roman" w:hAnsi="Times New Roman"/>
          <w:sz w:val="6"/>
          <w:szCs w:val="6"/>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6"/>
          <w:szCs w:val="6"/>
          <w:lang w:val="uk-UA"/>
        </w:rPr>
      </w:pPr>
      <w:r>
        <w:rPr>
          <w:rFonts w:ascii="Times New Roman" w:cs="Times New Roman" w:hAnsi="Times New Roman"/>
          <w:sz w:val="6"/>
          <w:szCs w:val="6"/>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б)</w:t>
        <w:tab/>
      </w:r>
      <w:r>
        <w:rPr>
          <w:rFonts w:ascii="Times New Roman" w:cs="Times New Roman" w:hAnsi="Times New Roman"/>
          <w:i/>
          <w:iCs/>
          <w:sz w:val="28"/>
          <w:szCs w:val="28"/>
          <w:lang w:val="uk-UA"/>
        </w:rPr>
        <w:t>попередній розгляд питань</w:t>
      </w:r>
      <w:r>
        <w:rPr>
          <w:rFonts w:ascii="Times New Roman" w:cs="Times New Roman" w:hAnsi="Times New Roman"/>
          <w:sz w:val="28"/>
          <w:szCs w:val="28"/>
          <w:lang w:val="uk-UA"/>
        </w:rPr>
        <w:t>:</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1)</w:t>
        <w:tab/>
        <w:t>про використання бюджетних і залучених коштів:</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для медичного обслуговування населення міста;</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соціального обслуговування населення міста;</w:t>
      </w:r>
    </w:p>
    <w:p>
      <w:pPr>
        <w:pStyle w:val="style0"/>
        <w:widowControl w:val="false"/>
        <w:tabs>
          <w:tab w:leader="none" w:pos="851" w:val="left"/>
        </w:tabs>
        <w:spacing w:after="0" w:before="0" w:line="100" w:lineRule="atLeast"/>
        <w:ind w:hanging="153" w:left="720"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xml:space="preserve">- на заходи з питань організації матеріально-технічного та фінансового забезпечення закладів освіти, культури, фізкультури, спорту;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2)</w:t>
        <w:tab/>
        <w:t>про вдосконалення структури управління:</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медичним обслуговуванням населення;</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соціальним обслуговуванням населення;</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3)</w:t>
        <w:tab/>
        <w:t xml:space="preserve">інших питань в межах напрямків діяльності та функціональної спрямованості комісії;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6"/>
          <w:szCs w:val="6"/>
          <w:lang w:val="uk-UA"/>
        </w:rPr>
      </w:pPr>
      <w:r>
        <w:rPr>
          <w:rFonts w:ascii="Times New Roman" w:cs="Times New Roman" w:hAnsi="Times New Roman"/>
          <w:sz w:val="6"/>
          <w:szCs w:val="6"/>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6"/>
          <w:szCs w:val="6"/>
          <w:lang w:val="uk-UA"/>
        </w:rPr>
      </w:pPr>
      <w:r>
        <w:rPr>
          <w:rFonts w:ascii="Times New Roman" w:cs="Times New Roman" w:hAnsi="Times New Roman"/>
          <w:sz w:val="6"/>
          <w:szCs w:val="6"/>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в)</w:t>
        <w:tab/>
      </w:r>
      <w:r>
        <w:rPr>
          <w:rFonts w:ascii="Times New Roman" w:cs="Times New Roman" w:hAnsi="Times New Roman"/>
          <w:i/>
          <w:iCs/>
          <w:sz w:val="28"/>
          <w:szCs w:val="28"/>
          <w:lang w:val="uk-UA"/>
        </w:rPr>
        <w:t>вивчення діяльності органів Ради, підприємств, установ, організацій</w:t>
      </w:r>
      <w:r>
        <w:rPr>
          <w:rFonts w:ascii="Times New Roman" w:cs="Times New Roman" w:hAnsi="Times New Roman"/>
          <w:sz w:val="28"/>
          <w:szCs w:val="28"/>
          <w:lang w:val="uk-UA"/>
        </w:rPr>
        <w:t xml:space="preserve">: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1)</w:t>
        <w:tab/>
        <w:t>аналіз діяльності підприємств, установ, організацій незалежно від форм власності із забезпечення:</w:t>
      </w:r>
    </w:p>
    <w:p>
      <w:pPr>
        <w:pStyle w:val="style0"/>
        <w:widowControl w:val="false"/>
        <w:tabs>
          <w:tab w:leader="none" w:pos="720" w:val="left"/>
        </w:tabs>
        <w:spacing w:after="0" w:before="0" w:line="100" w:lineRule="atLeast"/>
        <w:ind w:hanging="153" w:left="720"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xml:space="preserve">- медичного обслуговування їх працівників у відповідності з вимогами чинного законодавства; </w:t>
      </w:r>
    </w:p>
    <w:p>
      <w:pPr>
        <w:pStyle w:val="style0"/>
        <w:widowControl w:val="false"/>
        <w:tabs>
          <w:tab w:leader="none" w:pos="720" w:val="left"/>
        </w:tabs>
        <w:spacing w:after="0" w:before="0" w:line="100" w:lineRule="atLeast"/>
        <w:ind w:hanging="153" w:left="720"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xml:space="preserve">- соціального обслуговування їх працівників у відповідності з вимогами чинного законодавства; </w:t>
      </w:r>
    </w:p>
    <w:p>
      <w:pPr>
        <w:pStyle w:val="style0"/>
        <w:widowControl w:val="false"/>
        <w:tabs>
          <w:tab w:leader="none" w:pos="720" w:val="left"/>
        </w:tabs>
        <w:spacing w:after="0" w:before="0" w:line="100" w:lineRule="atLeast"/>
        <w:ind w:hanging="153" w:left="720"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xml:space="preserve">- сфери освіти, культури, фізкультури, спорту у відповідності з вимогами чинного законодавства; </w:t>
      </w:r>
    </w:p>
    <w:p>
      <w:pPr>
        <w:pStyle w:val="style0"/>
        <w:widowControl w:val="false"/>
        <w:tabs>
          <w:tab w:leader="none" w:pos="720" w:val="left"/>
        </w:tabs>
        <w:spacing w:after="0" w:before="0" w:line="100" w:lineRule="atLeast"/>
        <w:ind w:hanging="153" w:left="720"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послуг населенню в рамках чинного законодавства;</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2)</w:t>
        <w:tab/>
        <w:t xml:space="preserve">аналіз діяльності суб'єктів сфери компетенції комісії із забезпечення реалізації вимог законодавства організаціями, що належать територіальній громаді міста;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3)</w:t>
        <w:tab/>
        <w:t xml:space="preserve">аналіз індивідуальної підприємницької діяльності у сфері охорони здоров'я;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4)</w:t>
        <w:tab/>
        <w:t>аналіз забезпечення реалізації статутних положень:</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установ охорони здоров'я;</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навчально-виховних, культурно-просвітницьких, фізкультурно-оздоровчих установ незалежно від форм власності;</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5)</w:t>
        <w:tab/>
        <w:t>аналіз реалізації вимог законодавства за змістом і розвитком:</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xml:space="preserve">- лікувальних установ, що належать територіальній громаді міста;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xml:space="preserve">- установ соціального захисту, що належать територіальній громаді міста;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6)</w:t>
        <w:tab/>
        <w:t>аналіз реалізації затверджених заходів з питань молодіжної, сімейної та гендерної політики;</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 xml:space="preserve">7) інших питань в межах напрямків діяльності та функціональної спрямованості комісії;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6"/>
          <w:szCs w:val="6"/>
          <w:lang w:val="uk-UA"/>
        </w:rPr>
      </w:pPr>
      <w:r>
        <w:rPr>
          <w:rFonts w:ascii="Times New Roman" w:cs="Times New Roman" w:hAnsi="Times New Roman"/>
          <w:sz w:val="6"/>
          <w:szCs w:val="6"/>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6"/>
          <w:szCs w:val="6"/>
          <w:lang w:val="uk-UA"/>
        </w:rPr>
      </w:pPr>
      <w:r>
        <w:rPr>
          <w:rFonts w:ascii="Times New Roman" w:cs="Times New Roman" w:hAnsi="Times New Roman"/>
          <w:sz w:val="6"/>
          <w:szCs w:val="6"/>
          <w:lang w:val="uk-UA"/>
        </w:rPr>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г)</w:t>
        <w:tab/>
      </w:r>
      <w:r>
        <w:rPr>
          <w:rFonts w:ascii="Times New Roman" w:cs="Times New Roman" w:hAnsi="Times New Roman"/>
          <w:i/>
          <w:iCs/>
          <w:sz w:val="28"/>
          <w:szCs w:val="28"/>
          <w:lang w:val="uk-UA"/>
        </w:rPr>
        <w:t>підготовка інформації для депутатів</w:t>
      </w:r>
      <w:r>
        <w:rPr>
          <w:rFonts w:ascii="Times New Roman" w:cs="Times New Roman" w:hAnsi="Times New Roman"/>
          <w:sz w:val="28"/>
          <w:szCs w:val="28"/>
          <w:lang w:val="uk-UA"/>
        </w:rPr>
        <w:t xml:space="preserve">: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про стан і заходи з питань захворюваності і забезпечення медичного обслуговування в місті – один раз на рік;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про стан і заходи реалізації молодіжної політики в місті – один раз на рік;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про стан і заходи вдосконалення учбово-виховної роботи в освітніх установах міста усіх форм власності – один раз на рік;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 xml:space="preserve">про стан і заходи вдосконалення культурно-просвітницької і фізкультурно-оздоровчої роботи в місті – один раз на рік; </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про стан підготовки підприємств і установ усіх форм власності до літнього оздоровлення дітей – один раз на рік (травень);</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про стан і заходи щодо здійснення гендерної політики – один раз на рік;</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про діяльність виконавчих органів Ради із забезпечення соціального захисту населення міста – один раз на рік;</w:t>
      </w:r>
    </w:p>
    <w:p>
      <w:pPr>
        <w:pStyle w:val="style0"/>
        <w:widowControl w:val="false"/>
        <w:tabs>
          <w:tab w:leader="none" w:pos="851" w:val="left"/>
        </w:tabs>
        <w:spacing w:after="0" w:before="0" w:line="100" w:lineRule="atLeast"/>
        <w:ind w:firstLine="510" w:left="57" w:right="-2"/>
        <w:contextualSpacing w:val="false"/>
        <w:jc w:val="both"/>
        <w:rPr>
          <w:rFonts w:ascii="Times New Roman" w:cs="Times New Roman" w:hAnsi="Times New Roman"/>
          <w:sz w:val="28"/>
          <w:szCs w:val="28"/>
          <w:lang w:val="uk-UA"/>
        </w:rPr>
      </w:pPr>
      <w:r>
        <w:rPr>
          <w:rFonts w:ascii="Times New Roman" w:cs="Times New Roman" w:hAnsi="Times New Roman"/>
          <w:sz w:val="28"/>
          <w:szCs w:val="28"/>
          <w:lang w:val="uk-UA"/>
        </w:rPr>
        <w:t>-</w:t>
        <w:tab/>
        <w:t>іншої інформації в межах напрямків діяльності та функціональної спрямованості комісії – у разі необхідності.</w:t>
      </w:r>
    </w:p>
    <w:p>
      <w:pPr>
        <w:pStyle w:val="style0"/>
        <w:widowControl w:val="false"/>
        <w:spacing w:after="0" w:before="0" w:line="100" w:lineRule="atLeast"/>
        <w:ind w:hanging="0" w:left="0" w:right="-2"/>
        <w:contextualSpacing w:val="false"/>
        <w:rPr>
          <w:rFonts w:ascii="Times New Roman" w:cs="Times New Roman" w:hAnsi="Times New Roman"/>
          <w:b/>
          <w:bCs/>
          <w:sz w:val="28"/>
          <w:szCs w:val="28"/>
          <w:lang w:val="uk-UA"/>
        </w:rPr>
      </w:pPr>
      <w:r>
        <w:rPr>
          <w:rFonts w:ascii="Times New Roman" w:cs="Times New Roman" w:hAnsi="Times New Roman"/>
          <w:b/>
          <w:bCs/>
          <w:sz w:val="28"/>
          <w:szCs w:val="28"/>
          <w:lang w:val="uk-UA"/>
        </w:rPr>
      </w:r>
    </w:p>
    <w:p>
      <w:pPr>
        <w:pStyle w:val="style0"/>
        <w:shd w:fill="FFFFFF" w:val="clear"/>
        <w:tabs>
          <w:tab w:leader="none" w:pos="7740" w:val="left"/>
        </w:tabs>
        <w:spacing w:after="0" w:before="0" w:line="100" w:lineRule="atLeast"/>
        <w:contextualSpacing w:val="false"/>
        <w:rPr>
          <w:rFonts w:ascii="Times New Roman" w:cs="Times New Roman" w:hAnsi="Times New Roman"/>
          <w:color w:val="000000"/>
          <w:spacing w:val="-1"/>
          <w:sz w:val="28"/>
          <w:szCs w:val="28"/>
          <w:lang w:val="uk-UA"/>
        </w:rPr>
      </w:pPr>
      <w:r>
        <w:rPr>
          <w:rFonts w:ascii="Times New Roman" w:cs="Times New Roman" w:hAnsi="Times New Roman"/>
          <w:color w:val="000000"/>
          <w:spacing w:val="-1"/>
          <w:sz w:val="28"/>
          <w:szCs w:val="28"/>
          <w:lang w:val="uk-UA"/>
        </w:rPr>
        <w:t xml:space="preserve">Депутат </w:t>
      </w:r>
    </w:p>
    <w:p>
      <w:pPr>
        <w:pStyle w:val="style0"/>
        <w:shd w:fill="FFFFFF" w:val="clear"/>
        <w:tabs>
          <w:tab w:leader="none" w:pos="7740" w:val="left"/>
        </w:tabs>
        <w:spacing w:after="0" w:before="0" w:line="100" w:lineRule="atLeast"/>
        <w:contextualSpacing w:val="false"/>
        <w:rPr>
          <w:rFonts w:ascii="Times New Roman" w:cs="Times New Roman" w:hAnsi="Times New Roman"/>
          <w:color w:val="000000"/>
          <w:spacing w:val="-1"/>
          <w:sz w:val="28"/>
          <w:szCs w:val="28"/>
          <w:lang w:val="uk-UA"/>
        </w:rPr>
      </w:pPr>
      <w:r>
        <w:rPr>
          <w:rFonts w:ascii="Times New Roman" w:cs="Times New Roman" w:hAnsi="Times New Roman"/>
          <w:color w:val="000000"/>
          <w:spacing w:val="-1"/>
          <w:sz w:val="28"/>
          <w:szCs w:val="28"/>
          <w:lang w:val="uk-UA"/>
        </w:rPr>
        <w:t xml:space="preserve">Мелітопольської міської ради </w:t>
      </w:r>
    </w:p>
    <w:p>
      <w:pPr>
        <w:pStyle w:val="style0"/>
        <w:shd w:fill="FFFFFF" w:val="clear"/>
        <w:tabs>
          <w:tab w:leader="none" w:pos="7740" w:val="left"/>
        </w:tabs>
        <w:spacing w:after="0" w:before="0" w:line="100" w:lineRule="atLeast"/>
        <w:contextualSpacing w:val="false"/>
        <w:rPr>
          <w:rFonts w:ascii="Times New Roman" w:cs="Times New Roman" w:hAnsi="Times New Roman"/>
          <w:color w:val="000000"/>
          <w:spacing w:val="-1"/>
          <w:sz w:val="28"/>
          <w:szCs w:val="28"/>
          <w:lang w:val="uk-UA"/>
        </w:rPr>
      </w:pPr>
      <w:r>
        <w:rPr>
          <w:rFonts w:ascii="Times New Roman" w:cs="Times New Roman" w:hAnsi="Times New Roman"/>
          <w:color w:val="000000"/>
          <w:spacing w:val="-1"/>
          <w:sz w:val="28"/>
          <w:szCs w:val="28"/>
          <w:lang w:val="uk-UA"/>
        </w:rPr>
        <w:t xml:space="preserve">Запорізької області </w:t>
      </w:r>
      <w:r>
        <w:rPr>
          <w:rFonts w:ascii="Times New Roman" w:cs="Times New Roman" w:hAnsi="Times New Roman"/>
          <w:color w:val="000000"/>
          <w:spacing w:val="-1"/>
          <w:sz w:val="28"/>
          <w:szCs w:val="28"/>
          <w:lang w:val="en-US"/>
        </w:rPr>
        <w:t>VII</w:t>
      </w:r>
      <w:r>
        <w:rPr>
          <w:rFonts w:ascii="Times New Roman" w:cs="Times New Roman" w:hAnsi="Times New Roman"/>
          <w:color w:val="000000"/>
          <w:spacing w:val="-1"/>
          <w:sz w:val="28"/>
          <w:szCs w:val="28"/>
          <w:lang w:val="uk-UA"/>
        </w:rPr>
        <w:t xml:space="preserve"> скликання                                            В.В. Сакун</w:t>
      </w:r>
    </w:p>
    <w:p>
      <w:pPr>
        <w:pStyle w:val="style0"/>
        <w:widowControl w:val="false"/>
        <w:spacing w:after="0" w:before="0" w:line="100" w:lineRule="atLeast"/>
        <w:ind w:hanging="0" w:left="0" w:right="-2"/>
        <w:contextualSpacing w:val="false"/>
        <w:rPr>
          <w:rFonts w:ascii="Times New Roman" w:cs="Times New Roman" w:hAnsi="Times New Roman"/>
          <w:b/>
          <w:bCs/>
          <w:sz w:val="28"/>
          <w:szCs w:val="28"/>
          <w:lang w:val="uk-UA"/>
        </w:rPr>
      </w:pPr>
      <w:r>
        <w:rPr>
          <w:rFonts w:ascii="Times New Roman" w:cs="Times New Roman" w:hAnsi="Times New Roman"/>
          <w:b/>
          <w:bCs/>
          <w:sz w:val="28"/>
          <w:szCs w:val="28"/>
          <w:lang w:val="uk-UA"/>
        </w:rPr>
      </w:r>
    </w:p>
    <w:p>
      <w:pPr>
        <w:pStyle w:val="style0"/>
        <w:widowControl w:val="false"/>
        <w:spacing w:after="0" w:before="0" w:line="100" w:lineRule="atLeast"/>
        <w:ind w:hanging="0" w:left="0" w:right="-2"/>
        <w:contextualSpacing w:val="false"/>
        <w:rPr>
          <w:rFonts w:ascii="Times New Roman" w:cs="Times New Roman" w:hAnsi="Times New Roman"/>
          <w:b/>
          <w:bCs/>
          <w:sz w:val="28"/>
          <w:szCs w:val="28"/>
          <w:lang w:val="uk-UA"/>
        </w:rPr>
      </w:pPr>
      <w:r>
        <w:rPr>
          <w:rFonts w:ascii="Times New Roman" w:cs="Times New Roman" w:hAnsi="Times New Roman"/>
          <w:b/>
          <w:bCs/>
          <w:sz w:val="28"/>
          <w:szCs w:val="28"/>
          <w:lang w:val="uk-UA"/>
        </w:rPr>
      </w:r>
    </w:p>
    <w:p>
      <w:pPr>
        <w:pStyle w:val="style0"/>
        <w:shd w:fill="FFFFFF" w:val="clear"/>
        <w:tabs>
          <w:tab w:leader="none" w:pos="7740" w:val="left"/>
        </w:tabs>
        <w:spacing w:after="0" w:before="0" w:line="100" w:lineRule="atLeast"/>
        <w:contextualSpacing w:val="false"/>
        <w:rPr>
          <w:rFonts w:ascii="Times New Roman" w:cs="Times New Roman" w:hAnsi="Times New Roman"/>
          <w:sz w:val="28"/>
          <w:szCs w:val="28"/>
          <w:lang w:val="uk-UA"/>
        </w:rPr>
      </w:pPr>
      <w:r>
        <w:rPr>
          <w:rFonts w:ascii="Times New Roman" w:cs="Times New Roman" w:hAnsi="Times New Roman"/>
          <w:sz w:val="28"/>
          <w:szCs w:val="28"/>
          <w:lang w:val="uk-UA"/>
        </w:rPr>
        <w:t>Головуючий на засіданні _</w:t>
      </w:r>
      <w:bookmarkStart w:id="2" w:name="_GoBack1"/>
      <w:bookmarkEnd w:id="2"/>
      <w:r>
        <w:rPr>
          <w:rFonts w:ascii="Times New Roman" w:cs="Times New Roman" w:hAnsi="Times New Roman"/>
          <w:sz w:val="28"/>
          <w:szCs w:val="28"/>
          <w:lang w:val="uk-UA"/>
        </w:rPr>
        <w:t xml:space="preserve"> сесії </w:t>
      </w:r>
    </w:p>
    <w:p>
      <w:pPr>
        <w:pStyle w:val="style0"/>
        <w:shd w:fill="FFFFFF" w:val="clear"/>
        <w:tabs>
          <w:tab w:leader="none" w:pos="7740" w:val="left"/>
        </w:tabs>
        <w:spacing w:after="0" w:before="0" w:line="100" w:lineRule="atLeast"/>
        <w:contextualSpacing w:val="false"/>
        <w:rPr>
          <w:rFonts w:ascii="Times New Roman" w:cs="Times New Roman" w:hAnsi="Times New Roman"/>
          <w:color w:val="000000"/>
          <w:spacing w:val="-1"/>
          <w:sz w:val="28"/>
          <w:szCs w:val="28"/>
          <w:lang w:val="uk-UA"/>
        </w:rPr>
      </w:pPr>
      <w:r>
        <w:rPr>
          <w:rFonts w:ascii="Times New Roman" w:cs="Times New Roman" w:hAnsi="Times New Roman"/>
          <w:color w:val="000000"/>
          <w:spacing w:val="-1"/>
          <w:sz w:val="28"/>
          <w:szCs w:val="28"/>
          <w:lang w:val="uk-UA"/>
        </w:rPr>
        <w:t xml:space="preserve">Мелітопольської міської ради </w:t>
      </w:r>
    </w:p>
    <w:p>
      <w:pPr>
        <w:pStyle w:val="style0"/>
        <w:tabs>
          <w:tab w:leader="none" w:pos="3686" w:val="right"/>
        </w:tabs>
        <w:spacing w:after="0" w:before="0" w:line="100" w:lineRule="atLeast"/>
        <w:contextualSpacing w:val="false"/>
        <w:jc w:val="both"/>
        <w:rPr>
          <w:rFonts w:ascii="Times New Roman" w:cs="Times New Roman" w:hAnsi="Times New Roman"/>
          <w:color w:val="000000"/>
          <w:spacing w:val="-1"/>
          <w:sz w:val="28"/>
          <w:szCs w:val="28"/>
          <w:lang w:val="uk-UA"/>
        </w:rPr>
      </w:pPr>
      <w:r>
        <w:rPr>
          <w:rFonts w:ascii="Times New Roman" w:cs="Times New Roman" w:hAnsi="Times New Roman"/>
          <w:color w:val="000000"/>
          <w:spacing w:val="-1"/>
          <w:sz w:val="28"/>
          <w:szCs w:val="28"/>
          <w:lang w:val="uk-UA"/>
        </w:rPr>
        <w:t>Запорізької області VII скликання                                          _______________</w:t>
      </w:r>
    </w:p>
    <w:p>
      <w:pPr>
        <w:pStyle w:val="style0"/>
        <w:rPr>
          <w:rFonts w:ascii="Times New Roman" w:cs="Times New Roman" w:hAnsi="Times New Roman"/>
          <w:sz w:val="28"/>
          <w:szCs w:val="28"/>
          <w:lang w:val="uk-UA"/>
        </w:rPr>
      </w:pPr>
      <w:r>
        <w:rPr>
          <w:rFonts w:ascii="Times New Roman" w:cs="Times New Roman" w:hAnsi="Times New Roman"/>
          <w:sz w:val="28"/>
          <w:szCs w:val="28"/>
          <w:lang w:val="uk-UA"/>
        </w:rPr>
        <w:t xml:space="preserve">  </w:t>
      </w:r>
    </w:p>
    <w:p>
      <w:pPr>
        <w:pStyle w:val="style0"/>
        <w:spacing w:after="200" w:before="0"/>
        <w:contextualSpacing w:val="false"/>
        <w:rPr/>
      </w:pPr>
      <w:r>
        <w:rPr/>
      </w:r>
    </w:p>
    <w:sectPr>
      <w:type w:val="nextPage"/>
      <w:pgSz w:h="16838" w:w="11906"/>
      <w:pgMar w:bottom="1134" w:footer="0" w:gutter="0" w:header="0" w:left="1701" w:right="850" w:top="1134"/>
      <w:pgNumType w:fmt="decimal"/>
      <w:formProt w:val="false"/>
      <w:textDirection w:val="lrTb"/>
      <w:docGrid w:charSpace="8192" w:linePitch="360" w:type="default"/>
    </w:sectPr>
  </w:body>
</w:document>
</file>

<file path=word/fontTable.xml><?xml version="1.0" encoding="utf-8"?>
<w:fonts xmlns:r="http://schemas.openxmlformats.org/officeDocument/2006/relationship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01"/>
    <w:family w:val="roman"/>
    <w:pitch w:val="variable"/>
  </w:font>
  <w:font w:name="Calibri">
    <w:charset w:val="01"/>
    <w:family w:val="roman"/>
    <w:pitch w:val="variable"/>
  </w:font>
  <w:font w:name="Tahoma">
    <w:charset w:val="01"/>
    <w:family w:val="roman"/>
    <w:pitch w:val="variable"/>
  </w:font>
  <w:font w:name="Arial">
    <w:charset w:val="01"/>
    <w:family w:val="swiss"/>
    <w:pitch w:val="variable"/>
  </w:font>
</w:fonts>
</file>

<file path=word/numbering.xml><?xml version="1.0" encoding="utf-8"?>
<w:numbering xmlns:o="urn:schemas-microsoft-com:office:office" xmlns:r="http://schemas.openxmlformats.org/officeDocument/2006/relationships" xmlns:v="urn:schemas-microsoft-com:vml" xmlns:w="http://schemas.openxmlformats.org/wordprocessingml/2006/main">
  <w:abstractNum w:abstractNumId="1">
    <w:lvl w:ilvl="0">
      <w:start w:val="1"/>
      <w:numFmt w:val="decimal"/>
      <w:lvlText w:val="%1."/>
      <w:lvlJc w:val="left"/>
      <w:pPr>
        <w:tabs>
          <w:tab w:pos="1287" w:val="num"/>
        </w:tabs>
        <w:ind w:hanging="360" w:left="1287"/>
      </w:pPr>
    </w:lvl>
    <w:lvl w:ilvl="1">
      <w:start w:val="1"/>
      <w:numFmt w:val="lowerLetter"/>
      <w:lvlText w:val="%2."/>
      <w:lvlJc w:val="left"/>
      <w:pPr>
        <w:tabs>
          <w:tab w:pos="2007" w:val="num"/>
        </w:tabs>
        <w:ind w:hanging="360" w:left="2007"/>
      </w:pPr>
    </w:lvl>
    <w:lvl w:ilvl="2">
      <w:start w:val="1"/>
      <w:numFmt w:val="lowerRoman"/>
      <w:lvlText w:val="%3."/>
      <w:lvlJc w:val="right"/>
      <w:pPr>
        <w:tabs>
          <w:tab w:pos="2727" w:val="num"/>
        </w:tabs>
        <w:ind w:hanging="180" w:left="2727"/>
      </w:pPr>
    </w:lvl>
    <w:lvl w:ilvl="3">
      <w:start w:val="1"/>
      <w:numFmt w:val="decimal"/>
      <w:lvlText w:val="%4."/>
      <w:lvlJc w:val="left"/>
      <w:pPr>
        <w:tabs>
          <w:tab w:pos="3447" w:val="num"/>
        </w:tabs>
        <w:ind w:hanging="360" w:left="3447"/>
      </w:pPr>
    </w:lvl>
    <w:lvl w:ilvl="4">
      <w:start w:val="1"/>
      <w:numFmt w:val="lowerLetter"/>
      <w:lvlText w:val="%5."/>
      <w:lvlJc w:val="left"/>
      <w:pPr>
        <w:tabs>
          <w:tab w:pos="4167" w:val="num"/>
        </w:tabs>
        <w:ind w:hanging="360" w:left="4167"/>
      </w:pPr>
    </w:lvl>
    <w:lvl w:ilvl="5">
      <w:start w:val="1"/>
      <w:numFmt w:val="lowerRoman"/>
      <w:lvlText w:val="%6."/>
      <w:lvlJc w:val="right"/>
      <w:pPr>
        <w:tabs>
          <w:tab w:pos="4887" w:val="num"/>
        </w:tabs>
        <w:ind w:hanging="180" w:left="4887"/>
      </w:pPr>
    </w:lvl>
    <w:lvl w:ilvl="6">
      <w:start w:val="1"/>
      <w:numFmt w:val="decimal"/>
      <w:lvlText w:val="%7."/>
      <w:lvlJc w:val="left"/>
      <w:pPr>
        <w:tabs>
          <w:tab w:pos="5607" w:val="num"/>
        </w:tabs>
        <w:ind w:hanging="360" w:left="5607"/>
      </w:pPr>
    </w:lvl>
    <w:lvl w:ilvl="7">
      <w:start w:val="1"/>
      <w:numFmt w:val="lowerLetter"/>
      <w:lvlText w:val="%8."/>
      <w:lvlJc w:val="left"/>
      <w:pPr>
        <w:tabs>
          <w:tab w:pos="6327" w:val="num"/>
        </w:tabs>
        <w:ind w:hanging="360" w:left="6327"/>
      </w:pPr>
    </w:lvl>
    <w:lvl w:ilvl="8">
      <w:start w:val="1"/>
      <w:numFmt w:val="lowerRoman"/>
      <w:lvlText w:val="%9."/>
      <w:lvlJc w:val="right"/>
      <w:pPr>
        <w:tabs>
          <w:tab w:pos="7047" w:val="num"/>
        </w:tabs>
        <w:ind w:hanging="180" w:left="7047"/>
      </w:pPr>
    </w:lvl>
  </w:abstractNum>
  <w:abstractNum w:abstractNumId="2">
    <w:lvl w:ilvl="0">
      <w:start w:val="1"/>
      <w:numFmt w:val="none"/>
      <w:suff w:val="nothing"/>
      <w:lvlText w:val=""/>
      <w:lvlJc w:val="left"/>
      <w:pPr>
        <w:tabs>
          <w:tab w:pos="432" w:val="num"/>
        </w:tabs>
        <w:ind w:hanging="432" w:left="432"/>
      </w:pPr>
    </w:lvl>
    <w:lvl w:ilvl="1">
      <w:start w:val="1"/>
      <w:numFmt w:val="none"/>
      <w:suff w:val="nothing"/>
      <w:lvlText w:val=""/>
      <w:lvlJc w:val="left"/>
      <w:pPr>
        <w:tabs>
          <w:tab w:pos="576" w:val="num"/>
        </w:tabs>
        <w:ind w:hanging="576" w:left="576"/>
      </w:pPr>
    </w:lvl>
    <w:lvl w:ilvl="2">
      <w:start w:val="1"/>
      <w:numFmt w:val="none"/>
      <w:suff w:val="nothing"/>
      <w:lvlText w:val=""/>
      <w:lvlJc w:val="left"/>
      <w:pPr>
        <w:tabs>
          <w:tab w:pos="720" w:val="num"/>
        </w:tabs>
        <w:ind w:hanging="720" w:left="720"/>
      </w:pPr>
    </w:lvl>
    <w:lvl w:ilvl="3">
      <w:start w:val="1"/>
      <w:numFmt w:val="none"/>
      <w:suff w:val="nothing"/>
      <w:lvlText w:val=""/>
      <w:lvlJc w:val="left"/>
      <w:pPr>
        <w:tabs>
          <w:tab w:pos="864" w:val="num"/>
        </w:tabs>
        <w:ind w:hanging="864" w:left="864"/>
      </w:pPr>
    </w:lvl>
    <w:lvl w:ilvl="4">
      <w:start w:val="1"/>
      <w:numFmt w:val="none"/>
      <w:suff w:val="nothing"/>
      <w:lvlText w:val=""/>
      <w:lvlJc w:val="left"/>
      <w:pPr>
        <w:tabs>
          <w:tab w:pos="1008" w:val="num"/>
        </w:tabs>
        <w:ind w:hanging="1008" w:left="1008"/>
      </w:pPr>
    </w:lvl>
    <w:lvl w:ilvl="5">
      <w:start w:val="1"/>
      <w:numFmt w:val="none"/>
      <w:suff w:val="nothing"/>
      <w:lvlText w:val=""/>
      <w:lvlJc w:val="left"/>
      <w:pPr>
        <w:tabs>
          <w:tab w:pos="1152" w:val="num"/>
        </w:tabs>
        <w:ind w:hanging="1152" w:left="1152"/>
      </w:pPr>
    </w:lvl>
    <w:lvl w:ilvl="6">
      <w:start w:val="1"/>
      <w:numFmt w:val="none"/>
      <w:suff w:val="nothing"/>
      <w:lvlText w:val=""/>
      <w:lvlJc w:val="left"/>
      <w:pPr>
        <w:tabs>
          <w:tab w:pos="1296" w:val="num"/>
        </w:tabs>
        <w:ind w:hanging="1296" w:left="1296"/>
      </w:pPr>
    </w:lvl>
    <w:lvl w:ilvl="7">
      <w:start w:val="1"/>
      <w:numFmt w:val="none"/>
      <w:suff w:val="nothing"/>
      <w:lvlText w:val=""/>
      <w:lvlJc w:val="left"/>
      <w:pPr>
        <w:tabs>
          <w:tab w:pos="1440" w:val="num"/>
        </w:tabs>
        <w:ind w:hanging="1440" w:left="1440"/>
      </w:pPr>
    </w:lvl>
    <w:lvl w:ilvl="8">
      <w:start w:val="1"/>
      <w:numFmt w:val="none"/>
      <w:suff w:val="nothing"/>
      <w:lvlText w:val=""/>
      <w:lvlJc w:val="left"/>
      <w:pPr>
        <w:tabs>
          <w:tab w:pos="1584" w:val="num"/>
        </w:tabs>
        <w:ind w:hanging="1584" w:left="1584"/>
      </w:pPr>
    </w:lvl>
  </w:abstractNum>
  <w:num w:numId="1">
    <w:abstractNumId w:val="1"/>
  </w:num>
  <w:num w:numId="2">
    <w:abstractNumId w:val="2"/>
  </w:num>
</w:numbering>
</file>

<file path=word/settings.xml><?xml version="1.0" encoding="utf-8"?>
<w:settings xmlns:w="http://schemas.openxmlformats.org/wordprocessingml/2006/main">
  <w:zoom w:percent="75"/>
  <w:defaultTabStop w:val="708"/>
</w:settings>
</file>

<file path=word/styles.xml><?xml version="1.0" encoding="utf-8"?>
<w:styles xmlns:w="http://schemas.openxmlformats.org/wordprocessingml/2006/main">
  <w:style w:styleId="style0" w:type="paragraph">
    <w:name w:val="Normal"/>
    <w:next w:val="style0"/>
    <w:pPr>
      <w:widowControl/>
      <w:suppressAutoHyphens w:val="true"/>
      <w:spacing w:after="200" w:before="0" w:line="276" w:lineRule="auto"/>
      <w:contextualSpacing w:val="false"/>
    </w:pPr>
    <w:rPr>
      <w:rFonts w:ascii="Calibri" w:cs="Calibri" w:eastAsia="Times New Roman" w:hAnsi="Calibri"/>
      <w:color w:val="00000A"/>
      <w:sz w:val="22"/>
      <w:szCs w:val="22"/>
      <w:lang w:bidi="ar-SA" w:eastAsia="en-US" w:val="ru-RU"/>
    </w:rPr>
  </w:style>
  <w:style w:styleId="style15" w:type="character">
    <w:name w:val="Default Paragraph Font"/>
    <w:next w:val="style15"/>
    <w:rPr/>
  </w:style>
  <w:style w:styleId="style16" w:type="character">
    <w:name w:val="Balloon Text Char"/>
    <w:basedOn w:val="style15"/>
    <w:next w:val="style16"/>
    <w:rPr>
      <w:rFonts w:ascii="Tahoma" w:cs="Tahoma" w:hAnsi="Tahoma"/>
      <w:sz w:val="16"/>
      <w:szCs w:val="16"/>
    </w:rPr>
  </w:style>
  <w:style w:styleId="style17" w:type="character">
    <w:name w:val="ListLabel 1"/>
    <w:next w:val="style17"/>
    <w:rPr>
      <w:rFonts w:cs="Times New Roman"/>
    </w:rPr>
  </w:style>
  <w:style w:styleId="style18" w:type="paragraph">
    <w:name w:val="Заголовок"/>
    <w:basedOn w:val="style0"/>
    <w:next w:val="style19"/>
    <w:pPr>
      <w:keepNext/>
      <w:spacing w:after="120" w:before="240"/>
      <w:contextualSpacing w:val="false"/>
    </w:pPr>
    <w:rPr>
      <w:rFonts w:ascii="Arial" w:cs="FreeSans" w:eastAsia="DejaVu Sans" w:hAnsi="Arial"/>
      <w:sz w:val="28"/>
      <w:szCs w:val="28"/>
    </w:rPr>
  </w:style>
  <w:style w:styleId="style19" w:type="paragraph">
    <w:name w:val="Основной текст"/>
    <w:basedOn w:val="style0"/>
    <w:next w:val="style19"/>
    <w:pPr>
      <w:spacing w:after="120" w:before="0"/>
      <w:contextualSpacing w:val="false"/>
    </w:pPr>
    <w:rPr/>
  </w:style>
  <w:style w:styleId="style20" w:type="paragraph">
    <w:name w:val="Список"/>
    <w:basedOn w:val="style19"/>
    <w:next w:val="style20"/>
    <w:pPr/>
    <w:rPr>
      <w:rFonts w:cs="FreeSans"/>
    </w:rPr>
  </w:style>
  <w:style w:styleId="style21" w:type="paragraph">
    <w:name w:val="Название"/>
    <w:basedOn w:val="style0"/>
    <w:next w:val="style21"/>
    <w:pPr>
      <w:suppressLineNumbers/>
      <w:spacing w:after="120" w:before="120"/>
      <w:contextualSpacing w:val="false"/>
    </w:pPr>
    <w:rPr>
      <w:rFonts w:cs="FreeSans"/>
      <w:i/>
      <w:iCs/>
      <w:sz w:val="24"/>
      <w:szCs w:val="24"/>
    </w:rPr>
  </w:style>
  <w:style w:styleId="style22" w:type="paragraph">
    <w:name w:val="Указатель"/>
    <w:basedOn w:val="style0"/>
    <w:next w:val="style22"/>
    <w:pPr>
      <w:suppressLineNumbers/>
    </w:pPr>
    <w:rPr>
      <w:rFonts w:cs="FreeSans"/>
    </w:rPr>
  </w:style>
  <w:style w:styleId="style23" w:type="paragraph">
    <w:name w:val="Balloon Text"/>
    <w:basedOn w:val="style0"/>
    <w:next w:val="style23"/>
    <w:pPr>
      <w:spacing w:after="0" w:before="0" w:line="100" w:lineRule="atLeast"/>
      <w:contextualSpacing w:val="false"/>
    </w:pPr>
    <w:rPr>
      <w:rFonts w:ascii="Tahoma" w:cs="Tahoma" w:hAnsi="Tahoma"/>
      <w:sz w:val="16"/>
      <w:szCs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0.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Normal_Wordconv.dotm</Template>
  <TotalTime>11</TotalTime>
  <Application>Microsoft Office Outlook</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2015-12-17T04:44:00Z</dcterms:created>
  <dc:creator>asus</dc:creator>
  <cp:lastModifiedBy>User</cp:lastModifiedBy>
  <cp:lastPrinted>2016-03-21T11:46:44Z</cp:lastPrinted>
  <dcterms:modified xsi:type="dcterms:W3CDTF">2016-03-15T08:14:00Z</dcterms:modified>
  <cp:revision>6</cp:revision>
</cp:coreProperties>
</file>