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7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55" w:val="left"/>
        </w:tabs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управління комунальної власністю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управління комунальної власністю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управління комунальної власністю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bookmarkStart w:id="0" w:name="_GoBack"/>
      <w:bookmarkStart w:id="1" w:name="_GoBack"/>
      <w:bookmarkEnd w:id="1"/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Г.В.Данильченко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360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ab/>
        <w:tab/>
        <w:tab/>
        <w:tab/>
        <w:tab/>
        <w:tab/>
        <w:tab/>
        <w:t xml:space="preserve">   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</w:t>
      </w:r>
      <w:bookmarkStart w:id="2" w:name="_GoBack1"/>
      <w:bookmarkEnd w:id="2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управління комунальної власності Мелітопольської міської ради 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  <w:t>Трошина О.Д. 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Касярум С.О.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Сакун В.В.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Онищук Ю.П.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Резницький С.Й.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Семенюк О.В.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Судоков І.І.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</w:t>
      </w:r>
      <w:r>
        <w:rPr>
          <w:sz w:val="28"/>
          <w:szCs w:val="28"/>
        </w:rPr>
        <w:t>Г.В.Данильченко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360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List Paragraph"/>
    <w:basedOn w:val="style0"/>
    <w:next w:val="style24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7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2016-03-21T11:44:45Z</cp:lastPrinted>
  <dcterms:modified xsi:type="dcterms:W3CDTF">2016-03-15T08:15:00Z</dcterms:modified>
  <cp:revision>14</cp:revision>
</cp:coreProperties>
</file>